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b/>
          <w:bCs/>
          <w:color w:val="000000"/>
          <w:sz w:val="36"/>
          <w:szCs w:val="36"/>
        </w:rPr>
      </w:pPr>
      <w:r>
        <w:rPr>
          <w:rFonts w:hint="eastAsia" w:ascii="方正小标宋简体" w:hAnsi="方正小标宋简体" w:eastAsia="方正小标宋简体" w:cs="方正小标宋简体"/>
          <w:b/>
          <w:bCs/>
          <w:color w:val="000000"/>
          <w:sz w:val="36"/>
          <w:szCs w:val="36"/>
        </w:rPr>
        <w:t>清源创新实验室等规度仪需求调研情况</w:t>
      </w:r>
    </w:p>
    <w:p>
      <w:pPr>
        <w:snapToGrid w:val="0"/>
        <w:spacing w:line="54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一、仪器设备使用的项目</w:t>
      </w:r>
    </w:p>
    <w:p>
      <w:pPr>
        <w:snapToGrid w:val="0"/>
        <w:spacing w:line="54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中国福建化学工程科学与技术创新实验室(清源创新实验室)小中试基地拟购置等规度仪，主要用于测定有规异构体占全部高分子百分数的设备，等规度常用来表示催化剂在聚合反应中的定向能力，是评价聚丙烯产品性能的重要参数之一，等规度仪广泛应用于石油化工、精细化工等相关领域。该设备能满足清源创新实验室小中试基地装置产品生产与质量改进提升的需求，同时可为清源创新实验室其他科研团队提供公共检测服务，促进平台建设及人才培养。所以清源创新实验室小中试基地申请购置一台主要服务于清源创新实验室小中试基地、以测试为主、性能指标能够满足科研和产业化需要、精确度高、性能稳定可靠的等规度仪。</w:t>
      </w:r>
    </w:p>
    <w:p>
      <w:pPr>
        <w:snapToGrid w:val="0"/>
        <w:spacing w:line="54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二、在该项目中所承担的任务</w:t>
      </w:r>
    </w:p>
    <w:p>
      <w:pPr>
        <w:snapToGrid w:val="0"/>
        <w:spacing w:line="54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等规度仪是测量聚丙烯产品等规度的重要分析仪器，所得到的等规度指数是衡量聚丙烯产品的重要参数之一。该仪器是石油化工研究的必备仪器，同时可为清源创新实验室其他相关科研项目提供检测服务。因此该设备可为本单位各研究方向使用，特别是石油化工领域。该设备的引入，有利于促进清源创新实验室小中试基地在石油化工等领域的研发工作，提升科研分析方面的水平，提高科研人员的综合知识和创新能力。</w:t>
      </w:r>
    </w:p>
    <w:p>
      <w:pPr>
        <w:snapToGrid w:val="0"/>
        <w:spacing w:line="54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三、国内外同类项目所用的仪器设备及优缺点对比</w:t>
      </w:r>
    </w:p>
    <w:tbl>
      <w:tblPr>
        <w:tblStyle w:val="6"/>
        <w:tblW w:w="10206" w:type="dxa"/>
        <w:jc w:val="center"/>
        <w:tblLayout w:type="autofit"/>
        <w:tblCellMar>
          <w:top w:w="0" w:type="dxa"/>
          <w:left w:w="108" w:type="dxa"/>
          <w:bottom w:w="0" w:type="dxa"/>
          <w:right w:w="108" w:type="dxa"/>
        </w:tblCellMar>
      </w:tblPr>
      <w:tblGrid>
        <w:gridCol w:w="786"/>
        <w:gridCol w:w="1091"/>
        <w:gridCol w:w="2911"/>
        <w:gridCol w:w="2559"/>
        <w:gridCol w:w="2859"/>
      </w:tblGrid>
      <w:tr>
        <w:tblPrEx>
          <w:tblCellMar>
            <w:top w:w="0" w:type="dxa"/>
            <w:left w:w="108" w:type="dxa"/>
            <w:bottom w:w="0" w:type="dxa"/>
            <w:right w:w="108" w:type="dxa"/>
          </w:tblCellMar>
        </w:tblPrEx>
        <w:trPr>
          <w:trHeight w:val="279"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eastAsia="仿宋_GB2312"/>
                <w:b/>
                <w:bCs/>
                <w:sz w:val="24"/>
              </w:rPr>
            </w:pPr>
            <w:r>
              <w:rPr>
                <w:rFonts w:hint="eastAsia" w:ascii="仿宋_GB2312" w:eastAsia="仿宋_GB2312"/>
                <w:b/>
                <w:bCs/>
                <w:sz w:val="24"/>
              </w:rPr>
              <w:t>仪器</w:t>
            </w:r>
          </w:p>
        </w:tc>
        <w:tc>
          <w:tcPr>
            <w:tcW w:w="1252"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eastAsia="仿宋_GB2312"/>
                <w:b/>
                <w:bCs/>
                <w:sz w:val="24"/>
              </w:rPr>
            </w:pPr>
            <w:r>
              <w:rPr>
                <w:rFonts w:hint="eastAsia" w:ascii="仿宋_GB2312" w:eastAsia="仿宋_GB2312"/>
                <w:b/>
                <w:bCs/>
                <w:sz w:val="24"/>
              </w:rPr>
              <w:t>项目</w:t>
            </w:r>
          </w:p>
        </w:tc>
        <w:tc>
          <w:tcPr>
            <w:tcW w:w="3260"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eastAsia="仿宋_GB2312"/>
                <w:b/>
                <w:bCs/>
                <w:sz w:val="24"/>
              </w:rPr>
            </w:pPr>
            <w:r>
              <w:rPr>
                <w:rFonts w:ascii="仿宋_GB2312" w:eastAsia="仿宋_GB2312"/>
                <w:b/>
                <w:bCs/>
                <w:sz w:val="24"/>
              </w:rPr>
              <w:t>E-800</w:t>
            </w:r>
          </w:p>
        </w:tc>
        <w:tc>
          <w:tcPr>
            <w:tcW w:w="2835"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eastAsia="仿宋_GB2312"/>
                <w:b/>
                <w:bCs/>
                <w:sz w:val="24"/>
              </w:rPr>
            </w:pPr>
            <w:r>
              <w:rPr>
                <w:rFonts w:ascii="仿宋_GB2312" w:eastAsia="仿宋_GB2312"/>
                <w:b/>
                <w:bCs/>
                <w:sz w:val="24"/>
              </w:rPr>
              <w:t>SX-36060</w:t>
            </w:r>
          </w:p>
        </w:tc>
        <w:tc>
          <w:tcPr>
            <w:tcW w:w="3317"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eastAsia="仿宋_GB2312"/>
                <w:b/>
                <w:bCs/>
                <w:sz w:val="24"/>
              </w:rPr>
            </w:pPr>
            <w:r>
              <w:rPr>
                <w:rFonts w:ascii="仿宋_GB2312" w:eastAsia="仿宋_GB2312"/>
                <w:b/>
                <w:bCs/>
                <w:sz w:val="24"/>
              </w:rPr>
              <w:t>FT-660</w:t>
            </w:r>
          </w:p>
        </w:tc>
      </w:tr>
      <w:tr>
        <w:tblPrEx>
          <w:tblCellMar>
            <w:top w:w="0" w:type="dxa"/>
            <w:left w:w="108" w:type="dxa"/>
            <w:bottom w:w="0" w:type="dxa"/>
            <w:right w:w="108" w:type="dxa"/>
          </w:tblCellMar>
        </w:tblPrEx>
        <w:trPr>
          <w:trHeight w:val="1215" w:hRule="atLeast"/>
          <w:jc w:val="center"/>
        </w:trPr>
        <w:tc>
          <w:tcPr>
            <w:tcW w:w="870"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_GB2312" w:eastAsia="仿宋_GB2312"/>
                <w:b/>
                <w:bCs/>
                <w:sz w:val="24"/>
              </w:rPr>
            </w:pPr>
          </w:p>
          <w:p>
            <w:pPr>
              <w:jc w:val="center"/>
              <w:rPr>
                <w:rFonts w:hint="eastAsia" w:ascii="仿宋_GB2312" w:eastAsia="仿宋_GB2312"/>
                <w:b/>
                <w:bCs/>
                <w:sz w:val="24"/>
              </w:rPr>
            </w:pPr>
          </w:p>
          <w:p>
            <w:pPr>
              <w:jc w:val="center"/>
              <w:rPr>
                <w:rFonts w:hint="eastAsia" w:ascii="仿宋_GB2312" w:eastAsia="仿宋_GB2312"/>
                <w:b/>
                <w:bCs/>
                <w:sz w:val="24"/>
              </w:rPr>
            </w:pPr>
          </w:p>
          <w:p>
            <w:pPr>
              <w:jc w:val="center"/>
              <w:rPr>
                <w:rFonts w:hint="eastAsia" w:ascii="仿宋_GB2312" w:eastAsia="仿宋_GB2312"/>
                <w:b/>
                <w:bCs/>
                <w:sz w:val="24"/>
              </w:rPr>
            </w:pPr>
          </w:p>
          <w:p>
            <w:pPr>
              <w:jc w:val="center"/>
              <w:rPr>
                <w:rFonts w:hint="eastAsia" w:ascii="仿宋_GB2312" w:eastAsia="仿宋_GB2312"/>
                <w:b/>
                <w:bCs/>
                <w:sz w:val="24"/>
              </w:rPr>
            </w:pPr>
          </w:p>
          <w:p>
            <w:pPr>
              <w:jc w:val="center"/>
              <w:rPr>
                <w:rFonts w:hint="eastAsia" w:ascii="仿宋_GB2312" w:eastAsia="仿宋_GB2312"/>
                <w:b/>
                <w:bCs/>
                <w:sz w:val="24"/>
              </w:rPr>
            </w:pPr>
          </w:p>
          <w:p>
            <w:pPr>
              <w:jc w:val="center"/>
              <w:rPr>
                <w:rFonts w:hint="eastAsia" w:ascii="仿宋_GB2312" w:eastAsia="仿宋_GB2312"/>
                <w:b/>
                <w:bCs/>
                <w:sz w:val="24"/>
              </w:rPr>
            </w:pPr>
          </w:p>
          <w:p>
            <w:pPr>
              <w:jc w:val="center"/>
              <w:rPr>
                <w:rFonts w:hint="eastAsia" w:ascii="仿宋_GB2312" w:eastAsia="仿宋_GB2312"/>
                <w:b/>
                <w:bCs/>
                <w:sz w:val="24"/>
              </w:rPr>
            </w:pPr>
          </w:p>
          <w:p>
            <w:pPr>
              <w:jc w:val="center"/>
              <w:rPr>
                <w:rFonts w:hint="eastAsia" w:ascii="仿宋_GB2312" w:eastAsia="仿宋_GB2312"/>
                <w:b/>
                <w:bCs/>
                <w:sz w:val="24"/>
              </w:rPr>
            </w:pPr>
          </w:p>
          <w:p>
            <w:pPr>
              <w:jc w:val="center"/>
              <w:rPr>
                <w:rFonts w:hint="eastAsia" w:ascii="仿宋_GB2312" w:eastAsia="仿宋_GB2312"/>
                <w:b/>
                <w:bCs/>
                <w:sz w:val="24"/>
              </w:rPr>
            </w:pPr>
          </w:p>
          <w:p>
            <w:pPr>
              <w:jc w:val="center"/>
              <w:rPr>
                <w:rFonts w:hint="eastAsia" w:ascii="仿宋_GB2312" w:eastAsia="仿宋_GB2312"/>
                <w:b/>
                <w:bCs/>
                <w:sz w:val="24"/>
              </w:rPr>
            </w:pPr>
          </w:p>
          <w:p>
            <w:pPr>
              <w:jc w:val="center"/>
              <w:rPr>
                <w:rFonts w:hint="eastAsia" w:ascii="仿宋_GB2312" w:eastAsia="仿宋_GB2312"/>
                <w:b/>
                <w:bCs/>
                <w:sz w:val="24"/>
              </w:rPr>
            </w:pPr>
          </w:p>
          <w:p>
            <w:pPr>
              <w:jc w:val="center"/>
              <w:rPr>
                <w:rFonts w:hint="eastAsia" w:ascii="仿宋_GB2312" w:eastAsia="仿宋_GB2312"/>
                <w:b/>
                <w:bCs/>
                <w:sz w:val="24"/>
              </w:rPr>
            </w:pPr>
          </w:p>
          <w:p>
            <w:pPr>
              <w:jc w:val="center"/>
              <w:rPr>
                <w:rFonts w:hint="eastAsia" w:ascii="仿宋_GB2312" w:eastAsia="仿宋_GB2312"/>
                <w:b/>
                <w:bCs/>
                <w:sz w:val="24"/>
              </w:rPr>
            </w:pPr>
          </w:p>
          <w:p>
            <w:pPr>
              <w:jc w:val="center"/>
              <w:rPr>
                <w:rFonts w:hint="eastAsia" w:ascii="仿宋_GB2312" w:eastAsia="仿宋_GB2312"/>
                <w:b/>
                <w:bCs/>
                <w:sz w:val="24"/>
              </w:rPr>
            </w:pPr>
          </w:p>
          <w:p>
            <w:pPr>
              <w:jc w:val="center"/>
              <w:rPr>
                <w:rFonts w:hint="eastAsia" w:ascii="仿宋_GB2312" w:eastAsia="仿宋_GB2312"/>
                <w:b/>
                <w:bCs/>
                <w:sz w:val="24"/>
              </w:rPr>
            </w:pPr>
          </w:p>
          <w:p>
            <w:pPr>
              <w:jc w:val="center"/>
              <w:rPr>
                <w:rFonts w:hint="eastAsia" w:ascii="仿宋_GB2312" w:eastAsia="仿宋_GB2312"/>
                <w:b/>
                <w:bCs/>
                <w:sz w:val="24"/>
              </w:rPr>
            </w:pPr>
          </w:p>
          <w:p>
            <w:pPr>
              <w:jc w:val="center"/>
              <w:rPr>
                <w:rFonts w:hint="eastAsia" w:ascii="仿宋_GB2312" w:eastAsia="仿宋_GB2312"/>
                <w:b/>
                <w:bCs/>
                <w:sz w:val="24"/>
              </w:rPr>
            </w:pPr>
          </w:p>
          <w:p>
            <w:pPr>
              <w:jc w:val="center"/>
              <w:rPr>
                <w:rFonts w:hint="eastAsia" w:ascii="仿宋_GB2312" w:eastAsia="仿宋_GB2312"/>
                <w:b/>
                <w:bCs/>
                <w:sz w:val="24"/>
              </w:rPr>
            </w:pPr>
          </w:p>
          <w:p>
            <w:pPr>
              <w:jc w:val="center"/>
              <w:rPr>
                <w:rFonts w:hint="eastAsia" w:ascii="仿宋_GB2312" w:eastAsia="仿宋_GB2312"/>
                <w:b/>
                <w:bCs/>
                <w:sz w:val="24"/>
              </w:rPr>
            </w:pPr>
          </w:p>
          <w:p>
            <w:pPr>
              <w:jc w:val="center"/>
              <w:rPr>
                <w:rFonts w:hint="eastAsia" w:ascii="仿宋_GB2312" w:eastAsia="仿宋_GB2312"/>
                <w:b/>
                <w:bCs/>
                <w:sz w:val="24"/>
              </w:rPr>
            </w:pPr>
          </w:p>
          <w:p>
            <w:pPr>
              <w:jc w:val="center"/>
              <w:rPr>
                <w:rFonts w:hint="eastAsia" w:ascii="仿宋_GB2312" w:eastAsia="仿宋_GB2312"/>
                <w:b/>
                <w:bCs/>
                <w:sz w:val="24"/>
              </w:rPr>
            </w:pPr>
          </w:p>
          <w:p>
            <w:pPr>
              <w:jc w:val="center"/>
              <w:rPr>
                <w:rFonts w:ascii="仿宋_GB2312" w:eastAsia="仿宋_GB2312"/>
                <w:b/>
                <w:bCs/>
                <w:sz w:val="24"/>
              </w:rPr>
            </w:pPr>
            <w:r>
              <w:rPr>
                <w:rFonts w:hint="eastAsia" w:ascii="仿宋_GB2312" w:eastAsia="仿宋_GB2312"/>
                <w:b/>
                <w:bCs/>
                <w:sz w:val="24"/>
              </w:rPr>
              <w:t>等规度仪</w:t>
            </w:r>
          </w:p>
        </w:tc>
        <w:tc>
          <w:tcPr>
            <w:tcW w:w="1252" w:type="dxa"/>
            <w:tcBorders>
              <w:top w:val="nil"/>
              <w:left w:val="nil"/>
              <w:bottom w:val="single" w:color="auto" w:sz="4" w:space="0"/>
              <w:right w:val="single" w:color="auto" w:sz="4" w:space="0"/>
            </w:tcBorders>
            <w:shd w:val="clear" w:color="auto" w:fill="auto"/>
            <w:vAlign w:val="center"/>
          </w:tcPr>
          <w:p>
            <w:pPr>
              <w:rPr>
                <w:rFonts w:ascii="仿宋_GB2312" w:eastAsia="仿宋_GB2312"/>
                <w:b/>
                <w:bCs/>
                <w:sz w:val="24"/>
              </w:rPr>
            </w:pPr>
            <w:r>
              <w:rPr>
                <w:rFonts w:hint="eastAsia" w:ascii="仿宋_GB2312" w:eastAsia="仿宋_GB2312"/>
                <w:b/>
                <w:bCs/>
                <w:sz w:val="24"/>
              </w:rPr>
              <w:t>可同时萃取的样品数</w:t>
            </w:r>
          </w:p>
        </w:tc>
        <w:tc>
          <w:tcPr>
            <w:tcW w:w="3260" w:type="dxa"/>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4"/>
              </w:rPr>
            </w:pPr>
            <w:r>
              <w:rPr>
                <w:rFonts w:hint="eastAsia" w:ascii="仿宋_GB2312" w:eastAsia="仿宋_GB2312"/>
                <w:sz w:val="24"/>
              </w:rPr>
              <w:t>同时最多6个样品通道，也可只启动其中1个，且每个通道可实现单独的预设程序进行控制，6个通道可同时运行不同的萃取程序/模式，可使用不同的萃取溶剂</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4"/>
              </w:rPr>
            </w:pPr>
            <w:r>
              <w:rPr>
                <w:rFonts w:hint="eastAsia" w:ascii="仿宋_GB2312" w:eastAsia="仿宋_GB2312"/>
                <w:sz w:val="24"/>
              </w:rPr>
              <w:t>每批同时处理6个样品，无法单独启动</w:t>
            </w:r>
          </w:p>
        </w:tc>
        <w:tc>
          <w:tcPr>
            <w:tcW w:w="3317" w:type="dxa"/>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4"/>
              </w:rPr>
            </w:pPr>
            <w:r>
              <w:rPr>
                <w:rFonts w:ascii="仿宋_GB2312" w:eastAsia="仿宋_GB2312"/>
                <w:sz w:val="24"/>
              </w:rPr>
              <w:t>6</w:t>
            </w:r>
            <w:r>
              <w:rPr>
                <w:rFonts w:hint="eastAsia" w:ascii="仿宋_GB2312" w:eastAsia="仿宋_GB2312"/>
                <w:sz w:val="24"/>
              </w:rPr>
              <w:t>个</w:t>
            </w:r>
          </w:p>
        </w:tc>
      </w:tr>
      <w:tr>
        <w:tblPrEx>
          <w:tblCellMar>
            <w:top w:w="0" w:type="dxa"/>
            <w:left w:w="108" w:type="dxa"/>
            <w:bottom w:w="0" w:type="dxa"/>
            <w:right w:w="108" w:type="dxa"/>
          </w:tblCellMar>
        </w:tblPrEx>
        <w:trPr>
          <w:trHeight w:val="279" w:hRule="atLeast"/>
          <w:jc w:val="center"/>
        </w:trPr>
        <w:tc>
          <w:tcPr>
            <w:tcW w:w="870" w:type="dxa"/>
            <w:vMerge w:val="continue"/>
            <w:tcBorders>
              <w:top w:val="nil"/>
              <w:left w:val="single" w:color="auto" w:sz="4" w:space="0"/>
              <w:bottom w:val="single" w:color="auto" w:sz="4" w:space="0"/>
              <w:right w:val="single" w:color="auto" w:sz="4" w:space="0"/>
            </w:tcBorders>
            <w:vAlign w:val="center"/>
          </w:tcPr>
          <w:p>
            <w:pPr>
              <w:rPr>
                <w:rFonts w:ascii="仿宋_GB2312" w:eastAsia="仿宋_GB2312"/>
                <w:b/>
                <w:bCs/>
                <w:sz w:val="24"/>
              </w:rPr>
            </w:pPr>
          </w:p>
        </w:tc>
        <w:tc>
          <w:tcPr>
            <w:tcW w:w="1252" w:type="dxa"/>
            <w:tcBorders>
              <w:top w:val="nil"/>
              <w:left w:val="nil"/>
              <w:bottom w:val="single" w:color="auto" w:sz="4" w:space="0"/>
              <w:right w:val="single" w:color="auto" w:sz="4" w:space="0"/>
            </w:tcBorders>
            <w:shd w:val="clear" w:color="auto" w:fill="auto"/>
            <w:vAlign w:val="center"/>
          </w:tcPr>
          <w:p>
            <w:pPr>
              <w:rPr>
                <w:rFonts w:ascii="仿宋_GB2312" w:eastAsia="仿宋_GB2312"/>
                <w:b/>
                <w:bCs/>
                <w:sz w:val="24"/>
              </w:rPr>
            </w:pPr>
            <w:r>
              <w:rPr>
                <w:rFonts w:hint="eastAsia" w:ascii="仿宋_GB2312" w:eastAsia="仿宋_GB2312"/>
                <w:b/>
                <w:bCs/>
                <w:sz w:val="24"/>
              </w:rPr>
              <w:t>萃取过程</w:t>
            </w:r>
          </w:p>
        </w:tc>
        <w:tc>
          <w:tcPr>
            <w:tcW w:w="3260" w:type="dxa"/>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4"/>
              </w:rPr>
            </w:pPr>
            <w:r>
              <w:rPr>
                <w:rFonts w:hint="eastAsia" w:ascii="仿宋_GB2312" w:eastAsia="仿宋_GB2312"/>
                <w:sz w:val="24"/>
              </w:rPr>
              <w:t>萃取、淋洗、干燥</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4"/>
              </w:rPr>
            </w:pPr>
            <w:r>
              <w:rPr>
                <w:rFonts w:hint="eastAsia" w:ascii="仿宋_GB2312" w:eastAsia="仿宋_GB2312"/>
                <w:sz w:val="24"/>
              </w:rPr>
              <w:t>快速（表述不合理）</w:t>
            </w:r>
          </w:p>
        </w:tc>
        <w:tc>
          <w:tcPr>
            <w:tcW w:w="3317" w:type="dxa"/>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4"/>
              </w:rPr>
            </w:pPr>
            <w:r>
              <w:rPr>
                <w:rFonts w:hint="eastAsia" w:ascii="仿宋_GB2312" w:eastAsia="仿宋_GB2312"/>
                <w:sz w:val="24"/>
              </w:rPr>
              <w:t>萃取、淋洗</w:t>
            </w:r>
          </w:p>
        </w:tc>
      </w:tr>
      <w:tr>
        <w:tblPrEx>
          <w:tblCellMar>
            <w:top w:w="0" w:type="dxa"/>
            <w:left w:w="108" w:type="dxa"/>
            <w:bottom w:w="0" w:type="dxa"/>
            <w:right w:w="108" w:type="dxa"/>
          </w:tblCellMar>
        </w:tblPrEx>
        <w:trPr>
          <w:trHeight w:val="761" w:hRule="atLeast"/>
          <w:jc w:val="center"/>
        </w:trPr>
        <w:tc>
          <w:tcPr>
            <w:tcW w:w="870" w:type="dxa"/>
            <w:vMerge w:val="continue"/>
            <w:tcBorders>
              <w:top w:val="nil"/>
              <w:left w:val="single" w:color="auto" w:sz="4" w:space="0"/>
              <w:bottom w:val="single" w:color="auto" w:sz="4" w:space="0"/>
              <w:right w:val="single" w:color="auto" w:sz="4" w:space="0"/>
            </w:tcBorders>
            <w:vAlign w:val="center"/>
          </w:tcPr>
          <w:p>
            <w:pPr>
              <w:rPr>
                <w:rFonts w:ascii="仿宋_GB2312" w:eastAsia="仿宋_GB2312"/>
                <w:b/>
                <w:bCs/>
                <w:sz w:val="24"/>
              </w:rPr>
            </w:pPr>
          </w:p>
        </w:tc>
        <w:tc>
          <w:tcPr>
            <w:tcW w:w="1252" w:type="dxa"/>
            <w:tcBorders>
              <w:top w:val="nil"/>
              <w:left w:val="nil"/>
              <w:bottom w:val="single" w:color="auto" w:sz="4" w:space="0"/>
              <w:right w:val="single" w:color="auto" w:sz="4" w:space="0"/>
            </w:tcBorders>
            <w:shd w:val="clear" w:color="auto" w:fill="auto"/>
            <w:vAlign w:val="center"/>
          </w:tcPr>
          <w:p>
            <w:pPr>
              <w:rPr>
                <w:b/>
                <w:bCs/>
                <w:sz w:val="24"/>
              </w:rPr>
            </w:pPr>
            <w:r>
              <w:rPr>
                <w:rFonts w:hint="eastAsia"/>
                <w:b/>
                <w:bCs/>
                <w:sz w:val="24"/>
              </w:rPr>
              <w:t>溶剂回收率</w:t>
            </w:r>
          </w:p>
        </w:tc>
        <w:tc>
          <w:tcPr>
            <w:tcW w:w="3260" w:type="dxa"/>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4"/>
              </w:rPr>
            </w:pPr>
            <w:r>
              <w:rPr>
                <w:rFonts w:hint="eastAsia" w:ascii="仿宋_GB2312" w:eastAsia="仿宋_GB2312"/>
                <w:sz w:val="24"/>
              </w:rPr>
              <w:t>法兰Z-密封系统，密封性良好，极大降低溶剂损失，溶剂回收率＞90%</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4"/>
              </w:rPr>
            </w:pPr>
            <w:r>
              <w:rPr>
                <w:rFonts w:ascii="仿宋_GB2312" w:eastAsia="仿宋_GB2312"/>
                <w:sz w:val="24"/>
              </w:rPr>
              <w:t>90%</w:t>
            </w:r>
          </w:p>
        </w:tc>
        <w:tc>
          <w:tcPr>
            <w:tcW w:w="3317" w:type="dxa"/>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4"/>
              </w:rPr>
            </w:pPr>
            <w:r>
              <w:rPr>
                <w:rFonts w:ascii="仿宋_GB2312" w:eastAsia="仿宋_GB2312"/>
                <w:sz w:val="24"/>
              </w:rPr>
              <w:t>85%</w:t>
            </w:r>
          </w:p>
        </w:tc>
      </w:tr>
      <w:tr>
        <w:tblPrEx>
          <w:tblCellMar>
            <w:top w:w="0" w:type="dxa"/>
            <w:left w:w="108" w:type="dxa"/>
            <w:bottom w:w="0" w:type="dxa"/>
            <w:right w:w="108" w:type="dxa"/>
          </w:tblCellMar>
        </w:tblPrEx>
        <w:trPr>
          <w:trHeight w:val="854" w:hRule="atLeast"/>
          <w:jc w:val="center"/>
        </w:trPr>
        <w:tc>
          <w:tcPr>
            <w:tcW w:w="870" w:type="dxa"/>
            <w:vMerge w:val="continue"/>
            <w:tcBorders>
              <w:top w:val="nil"/>
              <w:left w:val="single" w:color="auto" w:sz="4" w:space="0"/>
              <w:bottom w:val="single" w:color="auto" w:sz="4" w:space="0"/>
              <w:right w:val="single" w:color="auto" w:sz="4" w:space="0"/>
            </w:tcBorders>
            <w:vAlign w:val="center"/>
          </w:tcPr>
          <w:p>
            <w:pPr>
              <w:rPr>
                <w:rFonts w:ascii="仿宋_GB2312" w:eastAsia="仿宋_GB2312"/>
                <w:b/>
                <w:bCs/>
                <w:sz w:val="24"/>
              </w:rPr>
            </w:pPr>
          </w:p>
        </w:tc>
        <w:tc>
          <w:tcPr>
            <w:tcW w:w="1252" w:type="dxa"/>
            <w:tcBorders>
              <w:top w:val="nil"/>
              <w:left w:val="nil"/>
              <w:bottom w:val="single" w:color="auto" w:sz="4" w:space="0"/>
              <w:right w:val="single" w:color="auto" w:sz="4" w:space="0"/>
            </w:tcBorders>
            <w:shd w:val="clear" w:color="auto" w:fill="auto"/>
            <w:vAlign w:val="center"/>
          </w:tcPr>
          <w:p>
            <w:pPr>
              <w:rPr>
                <w:b/>
                <w:bCs/>
                <w:sz w:val="24"/>
              </w:rPr>
            </w:pPr>
            <w:r>
              <w:rPr>
                <w:rFonts w:hint="eastAsia"/>
                <w:b/>
                <w:bCs/>
                <w:sz w:val="24"/>
              </w:rPr>
              <w:t>砂芯样品杯</w:t>
            </w:r>
          </w:p>
        </w:tc>
        <w:tc>
          <w:tcPr>
            <w:tcW w:w="3260" w:type="dxa"/>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4"/>
              </w:rPr>
            </w:pPr>
            <w:r>
              <w:rPr>
                <w:rFonts w:hint="eastAsia" w:ascii="仿宋_GB2312" w:eastAsia="仿宋_GB2312"/>
                <w:sz w:val="24"/>
              </w:rPr>
              <w:t>有可重复使用的砂芯样品杯，可替代</w:t>
            </w:r>
            <w:bookmarkStart w:id="0" w:name="_GoBack"/>
            <w:bookmarkEnd w:id="0"/>
            <w:r>
              <w:rPr>
                <w:rFonts w:hint="eastAsia" w:ascii="仿宋_GB2312" w:eastAsia="仿宋_GB2312"/>
                <w:sz w:val="24"/>
              </w:rPr>
              <w:t>纸滤筒，节约实验成本</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4"/>
              </w:rPr>
            </w:pPr>
            <w:r>
              <w:rPr>
                <w:rFonts w:hint="eastAsia" w:ascii="仿宋_GB2312" w:eastAsia="仿宋_GB2312"/>
                <w:sz w:val="24"/>
              </w:rPr>
              <w:t>标准纸筒，砂芯定制</w:t>
            </w:r>
          </w:p>
        </w:tc>
        <w:tc>
          <w:tcPr>
            <w:tcW w:w="3317" w:type="dxa"/>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4"/>
              </w:rPr>
            </w:pPr>
            <w:r>
              <w:rPr>
                <w:rFonts w:hint="eastAsia" w:ascii="仿宋_GB2312" w:eastAsia="仿宋_GB2312"/>
                <w:sz w:val="24"/>
              </w:rPr>
              <w:t>标准纸筒</w:t>
            </w:r>
          </w:p>
        </w:tc>
      </w:tr>
      <w:tr>
        <w:tblPrEx>
          <w:tblCellMar>
            <w:top w:w="0" w:type="dxa"/>
            <w:left w:w="108" w:type="dxa"/>
            <w:bottom w:w="0" w:type="dxa"/>
            <w:right w:w="108" w:type="dxa"/>
          </w:tblCellMar>
        </w:tblPrEx>
        <w:trPr>
          <w:trHeight w:val="1678" w:hRule="atLeast"/>
          <w:jc w:val="center"/>
        </w:trPr>
        <w:tc>
          <w:tcPr>
            <w:tcW w:w="870" w:type="dxa"/>
            <w:vMerge w:val="continue"/>
            <w:tcBorders>
              <w:top w:val="nil"/>
              <w:left w:val="single" w:color="auto" w:sz="4" w:space="0"/>
              <w:bottom w:val="single" w:color="auto" w:sz="4" w:space="0"/>
              <w:right w:val="single" w:color="auto" w:sz="4" w:space="0"/>
            </w:tcBorders>
            <w:vAlign w:val="center"/>
          </w:tcPr>
          <w:p>
            <w:pPr>
              <w:rPr>
                <w:rFonts w:ascii="仿宋_GB2312" w:eastAsia="仿宋_GB2312"/>
                <w:b/>
                <w:bCs/>
                <w:sz w:val="24"/>
              </w:rPr>
            </w:pPr>
          </w:p>
        </w:tc>
        <w:tc>
          <w:tcPr>
            <w:tcW w:w="1252" w:type="dxa"/>
            <w:tcBorders>
              <w:top w:val="nil"/>
              <w:left w:val="nil"/>
              <w:bottom w:val="single" w:color="auto" w:sz="4" w:space="0"/>
              <w:right w:val="single" w:color="auto" w:sz="4" w:space="0"/>
            </w:tcBorders>
            <w:shd w:val="clear" w:color="auto" w:fill="auto"/>
            <w:vAlign w:val="center"/>
          </w:tcPr>
          <w:p>
            <w:pPr>
              <w:rPr>
                <w:rFonts w:ascii="仿宋_GB2312" w:eastAsia="仿宋_GB2312"/>
                <w:b/>
                <w:bCs/>
                <w:sz w:val="24"/>
              </w:rPr>
            </w:pPr>
            <w:r>
              <w:rPr>
                <w:rFonts w:hint="eastAsia" w:ascii="仿宋_GB2312" w:eastAsia="仿宋_GB2312"/>
                <w:b/>
                <w:bCs/>
                <w:sz w:val="24"/>
              </w:rPr>
              <w:t>萃取模式/萃取过程</w:t>
            </w:r>
          </w:p>
        </w:tc>
        <w:tc>
          <w:tcPr>
            <w:tcW w:w="3260" w:type="dxa"/>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4"/>
              </w:rPr>
            </w:pPr>
            <w:r>
              <w:rPr>
                <w:rFonts w:hint="eastAsia" w:ascii="仿宋_GB2312" w:eastAsia="仿宋_GB2312"/>
                <w:sz w:val="24"/>
              </w:rPr>
              <w:t>标准索氏萃取模式，萃取过程：底部烧杯中的溶剂受热蒸发，被上部的冷凝器冷凝回落到萃取腔中与样品萃取，萃取腔中的溶剂慢慢积累，当达到液位后溶剂回流到底部的烧杯中，完成一次循环，反复多次，直至完成萃取过程，过程可设定萃取时间、循环次数</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4"/>
              </w:rPr>
            </w:pPr>
            <w:r>
              <w:rPr>
                <w:rFonts w:hint="eastAsia" w:ascii="仿宋_GB2312" w:eastAsia="仿宋_GB2312"/>
                <w:sz w:val="24"/>
              </w:rPr>
              <w:t>全自动（是否需要补充描述）</w:t>
            </w:r>
          </w:p>
        </w:tc>
        <w:tc>
          <w:tcPr>
            <w:tcW w:w="3317" w:type="dxa"/>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4"/>
              </w:rPr>
            </w:pPr>
            <w:r>
              <w:rPr>
                <w:rFonts w:hint="eastAsia" w:ascii="仿宋_GB2312" w:eastAsia="仿宋_GB2312"/>
                <w:sz w:val="24"/>
              </w:rPr>
              <w:t>萃取模式:经典索氏萃取/索氏热萃取/热萃取连续萃取,萃取步骤:萃取/淋洗/干燥</w:t>
            </w:r>
          </w:p>
        </w:tc>
      </w:tr>
      <w:tr>
        <w:tblPrEx>
          <w:tblCellMar>
            <w:top w:w="0" w:type="dxa"/>
            <w:left w:w="108" w:type="dxa"/>
            <w:bottom w:w="0" w:type="dxa"/>
            <w:right w:w="108" w:type="dxa"/>
          </w:tblCellMar>
        </w:tblPrEx>
        <w:trPr>
          <w:trHeight w:val="1116" w:hRule="atLeast"/>
          <w:jc w:val="center"/>
        </w:trPr>
        <w:tc>
          <w:tcPr>
            <w:tcW w:w="870" w:type="dxa"/>
            <w:vMerge w:val="continue"/>
            <w:tcBorders>
              <w:top w:val="nil"/>
              <w:left w:val="single" w:color="auto" w:sz="4" w:space="0"/>
              <w:bottom w:val="single" w:color="auto" w:sz="4" w:space="0"/>
              <w:right w:val="single" w:color="auto" w:sz="4" w:space="0"/>
            </w:tcBorders>
            <w:vAlign w:val="center"/>
          </w:tcPr>
          <w:p>
            <w:pPr>
              <w:rPr>
                <w:rFonts w:ascii="仿宋_GB2312" w:eastAsia="仿宋_GB2312"/>
                <w:b/>
                <w:bCs/>
                <w:sz w:val="24"/>
              </w:rPr>
            </w:pPr>
          </w:p>
        </w:tc>
        <w:tc>
          <w:tcPr>
            <w:tcW w:w="1252" w:type="dxa"/>
            <w:tcBorders>
              <w:top w:val="nil"/>
              <w:left w:val="nil"/>
              <w:bottom w:val="single" w:color="auto" w:sz="4" w:space="0"/>
              <w:right w:val="single" w:color="auto" w:sz="4" w:space="0"/>
            </w:tcBorders>
            <w:shd w:val="clear" w:color="auto" w:fill="auto"/>
            <w:vAlign w:val="center"/>
          </w:tcPr>
          <w:p>
            <w:pPr>
              <w:rPr>
                <w:rFonts w:ascii="仿宋_GB2312" w:eastAsia="仿宋_GB2312"/>
                <w:b/>
                <w:bCs/>
                <w:sz w:val="24"/>
              </w:rPr>
            </w:pPr>
            <w:r>
              <w:rPr>
                <w:rFonts w:hint="eastAsia" w:ascii="仿宋_GB2312" w:eastAsia="仿宋_GB2312"/>
                <w:b/>
                <w:bCs/>
                <w:sz w:val="24"/>
              </w:rPr>
              <w:t>回流液位高低调节功能</w:t>
            </w:r>
          </w:p>
        </w:tc>
        <w:tc>
          <w:tcPr>
            <w:tcW w:w="3260" w:type="dxa"/>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4"/>
              </w:rPr>
            </w:pPr>
            <w:r>
              <w:rPr>
                <w:rFonts w:hint="eastAsia" w:ascii="仿宋_GB2312" w:eastAsia="仿宋_GB2312"/>
                <w:sz w:val="24"/>
              </w:rPr>
              <w:t>每个通道有独立液位传感器，可根据样品量多少调节液位传感器高低，调节回流时长，优化索氏萃取法的循环时间，以符合标准规定的萃取流程要求</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4"/>
              </w:rPr>
            </w:pPr>
            <w:r>
              <w:rPr>
                <w:rFonts w:hint="eastAsia" w:ascii="仿宋_GB2312" w:eastAsia="仿宋_GB2312"/>
                <w:sz w:val="24"/>
              </w:rPr>
              <w:t>固定11毫升</w:t>
            </w:r>
          </w:p>
        </w:tc>
        <w:tc>
          <w:tcPr>
            <w:tcW w:w="3317" w:type="dxa"/>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4"/>
              </w:rPr>
            </w:pPr>
            <w:r>
              <w:rPr>
                <w:rFonts w:hint="eastAsia" w:ascii="仿宋_GB2312" w:eastAsia="仿宋_GB2312"/>
                <w:sz w:val="24"/>
              </w:rPr>
              <w:t>固定值</w:t>
            </w:r>
          </w:p>
        </w:tc>
      </w:tr>
      <w:tr>
        <w:tblPrEx>
          <w:tblCellMar>
            <w:top w:w="0" w:type="dxa"/>
            <w:left w:w="108" w:type="dxa"/>
            <w:bottom w:w="0" w:type="dxa"/>
            <w:right w:w="108" w:type="dxa"/>
          </w:tblCellMar>
        </w:tblPrEx>
        <w:trPr>
          <w:trHeight w:val="558" w:hRule="atLeast"/>
          <w:jc w:val="center"/>
        </w:trPr>
        <w:tc>
          <w:tcPr>
            <w:tcW w:w="870" w:type="dxa"/>
            <w:vMerge w:val="continue"/>
            <w:tcBorders>
              <w:top w:val="nil"/>
              <w:left w:val="single" w:color="auto" w:sz="4" w:space="0"/>
              <w:bottom w:val="single" w:color="auto" w:sz="4" w:space="0"/>
              <w:right w:val="single" w:color="auto" w:sz="4" w:space="0"/>
            </w:tcBorders>
            <w:vAlign w:val="center"/>
          </w:tcPr>
          <w:p>
            <w:pPr>
              <w:rPr>
                <w:rFonts w:ascii="仿宋_GB2312" w:eastAsia="仿宋_GB2312"/>
                <w:b/>
                <w:bCs/>
                <w:sz w:val="24"/>
              </w:rPr>
            </w:pPr>
          </w:p>
        </w:tc>
        <w:tc>
          <w:tcPr>
            <w:tcW w:w="1252" w:type="dxa"/>
            <w:tcBorders>
              <w:top w:val="nil"/>
              <w:left w:val="nil"/>
              <w:bottom w:val="single" w:color="auto" w:sz="4" w:space="0"/>
              <w:right w:val="single" w:color="auto" w:sz="4" w:space="0"/>
            </w:tcBorders>
            <w:shd w:val="clear" w:color="auto" w:fill="auto"/>
            <w:vAlign w:val="center"/>
          </w:tcPr>
          <w:p>
            <w:pPr>
              <w:rPr>
                <w:rFonts w:ascii="仿宋_GB2312" w:eastAsia="仿宋_GB2312"/>
                <w:b/>
                <w:bCs/>
                <w:sz w:val="24"/>
              </w:rPr>
            </w:pPr>
            <w:r>
              <w:rPr>
                <w:rFonts w:hint="eastAsia" w:ascii="仿宋_GB2312" w:eastAsia="仿宋_GB2312"/>
                <w:b/>
                <w:bCs/>
                <w:sz w:val="24"/>
              </w:rPr>
              <w:t>溶剂加热器数量</w:t>
            </w:r>
          </w:p>
        </w:tc>
        <w:tc>
          <w:tcPr>
            <w:tcW w:w="3260" w:type="dxa"/>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4"/>
              </w:rPr>
            </w:pPr>
            <w:r>
              <w:rPr>
                <w:rFonts w:hint="eastAsia" w:ascii="仿宋_GB2312" w:eastAsia="仿宋_GB2312"/>
                <w:sz w:val="24"/>
              </w:rPr>
              <w:t>两个，一个是加热底部溶剂杯，另一个加热样品仓</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4"/>
              </w:rPr>
            </w:pPr>
            <w:r>
              <w:rPr>
                <w:rFonts w:hint="eastAsia" w:ascii="仿宋_GB2312" w:eastAsia="仿宋_GB2312"/>
                <w:sz w:val="24"/>
              </w:rPr>
              <w:t>整体加热</w:t>
            </w:r>
          </w:p>
        </w:tc>
        <w:tc>
          <w:tcPr>
            <w:tcW w:w="3317" w:type="dxa"/>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4"/>
              </w:rPr>
            </w:pPr>
            <w:r>
              <w:rPr>
                <w:rFonts w:hint="eastAsia" w:ascii="仿宋_GB2312" w:eastAsia="仿宋_GB2312"/>
                <w:sz w:val="24"/>
              </w:rPr>
              <w:t>6个</w:t>
            </w:r>
          </w:p>
        </w:tc>
      </w:tr>
      <w:tr>
        <w:tblPrEx>
          <w:tblCellMar>
            <w:top w:w="0" w:type="dxa"/>
            <w:left w:w="108" w:type="dxa"/>
            <w:bottom w:w="0" w:type="dxa"/>
            <w:right w:w="108" w:type="dxa"/>
          </w:tblCellMar>
        </w:tblPrEx>
        <w:trPr>
          <w:trHeight w:val="837" w:hRule="atLeast"/>
          <w:jc w:val="center"/>
        </w:trPr>
        <w:tc>
          <w:tcPr>
            <w:tcW w:w="870" w:type="dxa"/>
            <w:vMerge w:val="continue"/>
            <w:tcBorders>
              <w:top w:val="nil"/>
              <w:left w:val="single" w:color="auto" w:sz="4" w:space="0"/>
              <w:bottom w:val="single" w:color="auto" w:sz="4" w:space="0"/>
              <w:right w:val="single" w:color="auto" w:sz="4" w:space="0"/>
            </w:tcBorders>
            <w:vAlign w:val="center"/>
          </w:tcPr>
          <w:p>
            <w:pPr>
              <w:rPr>
                <w:rFonts w:ascii="仿宋_GB2312" w:eastAsia="仿宋_GB2312"/>
                <w:b/>
                <w:bCs/>
                <w:sz w:val="24"/>
              </w:rPr>
            </w:pPr>
          </w:p>
        </w:tc>
        <w:tc>
          <w:tcPr>
            <w:tcW w:w="1252" w:type="dxa"/>
            <w:tcBorders>
              <w:top w:val="nil"/>
              <w:left w:val="nil"/>
              <w:bottom w:val="single" w:color="auto" w:sz="4" w:space="0"/>
              <w:right w:val="single" w:color="auto" w:sz="4" w:space="0"/>
            </w:tcBorders>
            <w:shd w:val="clear" w:color="auto" w:fill="auto"/>
            <w:vAlign w:val="center"/>
          </w:tcPr>
          <w:p>
            <w:pPr>
              <w:rPr>
                <w:rFonts w:ascii="仿宋_GB2312" w:eastAsia="仿宋_GB2312"/>
                <w:b/>
                <w:bCs/>
                <w:sz w:val="24"/>
              </w:rPr>
            </w:pPr>
            <w:r>
              <w:rPr>
                <w:rFonts w:hint="eastAsia" w:ascii="仿宋_GB2312" w:eastAsia="仿宋_GB2312"/>
                <w:b/>
                <w:bCs/>
                <w:sz w:val="24"/>
              </w:rPr>
              <w:t>样品仓加热功能</w:t>
            </w:r>
          </w:p>
        </w:tc>
        <w:tc>
          <w:tcPr>
            <w:tcW w:w="3260" w:type="dxa"/>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4"/>
              </w:rPr>
            </w:pPr>
            <w:r>
              <w:rPr>
                <w:rFonts w:hint="eastAsia" w:ascii="仿宋_GB2312" w:eastAsia="仿宋_GB2312"/>
                <w:sz w:val="24"/>
              </w:rPr>
              <w:t>有。索氏抽提模式下可单独对样品仓中溶剂和样品混合物进行温和加热，促进/加速萃取进程，提高萃取效率</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4"/>
              </w:rPr>
            </w:pPr>
            <w:r>
              <w:rPr>
                <w:rFonts w:hint="eastAsia" w:ascii="仿宋_GB2312" w:eastAsia="仿宋_GB2312"/>
                <w:sz w:val="24"/>
              </w:rPr>
              <w:t>样品一直加热</w:t>
            </w:r>
          </w:p>
        </w:tc>
        <w:tc>
          <w:tcPr>
            <w:tcW w:w="3317" w:type="dxa"/>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4"/>
              </w:rPr>
            </w:pPr>
            <w:r>
              <w:rPr>
                <w:rFonts w:hint="eastAsia" w:ascii="仿宋_GB2312" w:eastAsia="仿宋_GB2312"/>
                <w:sz w:val="24"/>
              </w:rPr>
              <w:t>萃取室温度上限100℃、回收杯温度上限300℃</w:t>
            </w:r>
          </w:p>
        </w:tc>
      </w:tr>
      <w:tr>
        <w:tblPrEx>
          <w:tblCellMar>
            <w:top w:w="0" w:type="dxa"/>
            <w:left w:w="108" w:type="dxa"/>
            <w:bottom w:w="0" w:type="dxa"/>
            <w:right w:w="108" w:type="dxa"/>
          </w:tblCellMar>
        </w:tblPrEx>
        <w:trPr>
          <w:trHeight w:val="558" w:hRule="atLeast"/>
          <w:jc w:val="center"/>
        </w:trPr>
        <w:tc>
          <w:tcPr>
            <w:tcW w:w="870" w:type="dxa"/>
            <w:vMerge w:val="continue"/>
            <w:tcBorders>
              <w:top w:val="nil"/>
              <w:left w:val="single" w:color="auto" w:sz="4" w:space="0"/>
              <w:bottom w:val="single" w:color="auto" w:sz="4" w:space="0"/>
              <w:right w:val="single" w:color="auto" w:sz="4" w:space="0"/>
            </w:tcBorders>
            <w:vAlign w:val="center"/>
          </w:tcPr>
          <w:p>
            <w:pPr>
              <w:rPr>
                <w:rFonts w:ascii="仿宋_GB2312" w:eastAsia="仿宋_GB2312"/>
                <w:b/>
                <w:bCs/>
                <w:sz w:val="24"/>
              </w:rPr>
            </w:pPr>
          </w:p>
        </w:tc>
        <w:tc>
          <w:tcPr>
            <w:tcW w:w="1252" w:type="dxa"/>
            <w:tcBorders>
              <w:top w:val="nil"/>
              <w:left w:val="nil"/>
              <w:bottom w:val="single" w:color="auto" w:sz="4" w:space="0"/>
              <w:right w:val="single" w:color="auto" w:sz="4" w:space="0"/>
            </w:tcBorders>
            <w:shd w:val="clear" w:color="auto" w:fill="auto"/>
            <w:vAlign w:val="center"/>
          </w:tcPr>
          <w:p>
            <w:pPr>
              <w:rPr>
                <w:rFonts w:ascii="仿宋_GB2312" w:eastAsia="仿宋_GB2312"/>
                <w:b/>
                <w:bCs/>
                <w:sz w:val="24"/>
              </w:rPr>
            </w:pPr>
            <w:r>
              <w:rPr>
                <w:rFonts w:hint="eastAsia" w:ascii="仿宋_GB2312" w:eastAsia="仿宋_GB2312"/>
                <w:b/>
                <w:bCs/>
                <w:sz w:val="24"/>
              </w:rPr>
              <w:t>惰性气体保护功能</w:t>
            </w:r>
          </w:p>
        </w:tc>
        <w:tc>
          <w:tcPr>
            <w:tcW w:w="3260" w:type="dxa"/>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4"/>
              </w:rPr>
            </w:pPr>
            <w:r>
              <w:rPr>
                <w:rFonts w:hint="eastAsia" w:ascii="仿宋_GB2312" w:eastAsia="仿宋_GB2312"/>
                <w:sz w:val="24"/>
              </w:rPr>
              <w:t>有。6个样品通道都有惰性气体接口，可通入惰性气体</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4"/>
              </w:rPr>
            </w:pPr>
            <w:r>
              <w:rPr>
                <w:rFonts w:hint="eastAsia" w:ascii="仿宋_GB2312" w:eastAsia="仿宋_GB2312"/>
                <w:sz w:val="24"/>
              </w:rPr>
              <w:t>内置空气泵，惰性气体</w:t>
            </w:r>
          </w:p>
        </w:tc>
        <w:tc>
          <w:tcPr>
            <w:tcW w:w="3317" w:type="dxa"/>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4"/>
              </w:rPr>
            </w:pPr>
            <w:r>
              <w:rPr>
                <w:rFonts w:hint="eastAsia" w:ascii="仿宋_GB2312" w:eastAsia="仿宋_GB2312"/>
                <w:sz w:val="24"/>
              </w:rPr>
              <w:t>无，基本用不上惰性气体</w:t>
            </w:r>
          </w:p>
        </w:tc>
      </w:tr>
      <w:tr>
        <w:tblPrEx>
          <w:tblCellMar>
            <w:top w:w="0" w:type="dxa"/>
            <w:left w:w="108" w:type="dxa"/>
            <w:bottom w:w="0" w:type="dxa"/>
            <w:right w:w="108" w:type="dxa"/>
          </w:tblCellMar>
        </w:tblPrEx>
        <w:trPr>
          <w:trHeight w:val="558" w:hRule="atLeast"/>
          <w:jc w:val="center"/>
        </w:trPr>
        <w:tc>
          <w:tcPr>
            <w:tcW w:w="870" w:type="dxa"/>
            <w:vMerge w:val="continue"/>
            <w:tcBorders>
              <w:top w:val="nil"/>
              <w:left w:val="single" w:color="auto" w:sz="4" w:space="0"/>
              <w:bottom w:val="single" w:color="auto" w:sz="4" w:space="0"/>
              <w:right w:val="single" w:color="auto" w:sz="4" w:space="0"/>
            </w:tcBorders>
            <w:vAlign w:val="center"/>
          </w:tcPr>
          <w:p>
            <w:pPr>
              <w:rPr>
                <w:rFonts w:ascii="仿宋_GB2312" w:eastAsia="仿宋_GB2312"/>
                <w:b/>
                <w:bCs/>
                <w:sz w:val="24"/>
              </w:rPr>
            </w:pPr>
          </w:p>
        </w:tc>
        <w:tc>
          <w:tcPr>
            <w:tcW w:w="1252" w:type="dxa"/>
            <w:tcBorders>
              <w:top w:val="nil"/>
              <w:left w:val="nil"/>
              <w:bottom w:val="single" w:color="auto" w:sz="4" w:space="0"/>
              <w:right w:val="single" w:color="auto" w:sz="4" w:space="0"/>
            </w:tcBorders>
            <w:shd w:val="clear" w:color="auto" w:fill="auto"/>
            <w:vAlign w:val="center"/>
          </w:tcPr>
          <w:p>
            <w:pPr>
              <w:rPr>
                <w:rFonts w:ascii="仿宋_GB2312" w:eastAsia="仿宋_GB2312"/>
                <w:b/>
                <w:bCs/>
                <w:sz w:val="24"/>
              </w:rPr>
            </w:pPr>
            <w:r>
              <w:rPr>
                <w:rFonts w:hint="eastAsia" w:ascii="仿宋_GB2312" w:eastAsia="仿宋_GB2312"/>
                <w:b/>
                <w:bCs/>
                <w:sz w:val="24"/>
              </w:rPr>
              <w:t>分析物保护功能</w:t>
            </w:r>
          </w:p>
        </w:tc>
        <w:tc>
          <w:tcPr>
            <w:tcW w:w="3260" w:type="dxa"/>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4"/>
              </w:rPr>
            </w:pPr>
            <w:r>
              <w:rPr>
                <w:rFonts w:hint="eastAsia" w:ascii="仿宋_GB2312" w:eastAsia="仿宋_GB2312"/>
                <w:sz w:val="24"/>
              </w:rPr>
              <w:t>保证烧杯中只剩下极少量的溶剂，保护分析物不过热不干烧</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4"/>
              </w:rPr>
            </w:pPr>
            <w:r>
              <w:rPr>
                <w:rFonts w:hint="eastAsia" w:ascii="仿宋_GB2312" w:eastAsia="仿宋_GB2312"/>
                <w:sz w:val="24"/>
              </w:rPr>
              <w:t>惰性气体</w:t>
            </w:r>
          </w:p>
        </w:tc>
        <w:tc>
          <w:tcPr>
            <w:tcW w:w="3317" w:type="dxa"/>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4"/>
              </w:rPr>
            </w:pPr>
            <w:r>
              <w:rPr>
                <w:rFonts w:hint="eastAsia" w:ascii="仿宋_GB2312" w:eastAsia="仿宋_GB2312"/>
                <w:sz w:val="24"/>
              </w:rPr>
              <w:t>无</w:t>
            </w:r>
          </w:p>
        </w:tc>
      </w:tr>
      <w:tr>
        <w:tblPrEx>
          <w:tblCellMar>
            <w:top w:w="0" w:type="dxa"/>
            <w:left w:w="108" w:type="dxa"/>
            <w:bottom w:w="0" w:type="dxa"/>
            <w:right w:w="108" w:type="dxa"/>
          </w:tblCellMar>
        </w:tblPrEx>
        <w:trPr>
          <w:trHeight w:val="558" w:hRule="atLeast"/>
          <w:jc w:val="center"/>
        </w:trPr>
        <w:tc>
          <w:tcPr>
            <w:tcW w:w="870" w:type="dxa"/>
            <w:vMerge w:val="continue"/>
            <w:tcBorders>
              <w:top w:val="nil"/>
              <w:left w:val="single" w:color="auto" w:sz="4" w:space="0"/>
              <w:bottom w:val="single" w:color="auto" w:sz="4" w:space="0"/>
              <w:right w:val="single" w:color="auto" w:sz="4" w:space="0"/>
            </w:tcBorders>
            <w:vAlign w:val="center"/>
          </w:tcPr>
          <w:p>
            <w:pPr>
              <w:rPr>
                <w:rFonts w:ascii="仿宋_GB2312" w:eastAsia="仿宋_GB2312"/>
                <w:b/>
                <w:bCs/>
                <w:sz w:val="24"/>
              </w:rPr>
            </w:pPr>
          </w:p>
        </w:tc>
        <w:tc>
          <w:tcPr>
            <w:tcW w:w="1252" w:type="dxa"/>
            <w:tcBorders>
              <w:top w:val="nil"/>
              <w:left w:val="nil"/>
              <w:bottom w:val="single" w:color="auto" w:sz="4" w:space="0"/>
              <w:right w:val="single" w:color="auto" w:sz="4" w:space="0"/>
            </w:tcBorders>
            <w:shd w:val="clear" w:color="auto" w:fill="auto"/>
            <w:vAlign w:val="center"/>
          </w:tcPr>
          <w:p>
            <w:pPr>
              <w:rPr>
                <w:rFonts w:ascii="仿宋_GB2312" w:eastAsia="仿宋_GB2312"/>
                <w:b/>
                <w:bCs/>
                <w:sz w:val="24"/>
              </w:rPr>
            </w:pPr>
            <w:r>
              <w:rPr>
                <w:rFonts w:hint="eastAsia" w:ascii="仿宋_GB2312" w:eastAsia="仿宋_GB2312"/>
                <w:b/>
                <w:bCs/>
                <w:sz w:val="24"/>
              </w:rPr>
              <w:t>允许的萃取模式</w:t>
            </w:r>
          </w:p>
        </w:tc>
        <w:tc>
          <w:tcPr>
            <w:tcW w:w="3260" w:type="dxa"/>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4"/>
              </w:rPr>
            </w:pPr>
            <w:r>
              <w:rPr>
                <w:rFonts w:hint="eastAsia" w:ascii="仿宋_GB2312" w:eastAsia="仿宋_GB2312"/>
                <w:sz w:val="24"/>
              </w:rPr>
              <w:t>标准索氏萃取法、索氏热萃取法、热萃取法、连续萃取法、Twisselmann萃取法</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4"/>
              </w:rPr>
            </w:pPr>
            <w:r>
              <w:rPr>
                <w:rFonts w:hint="eastAsia" w:ascii="仿宋_GB2312" w:eastAsia="仿宋_GB2312"/>
                <w:sz w:val="24"/>
              </w:rPr>
              <w:t>快速萃取</w:t>
            </w:r>
          </w:p>
        </w:tc>
        <w:tc>
          <w:tcPr>
            <w:tcW w:w="3317" w:type="dxa"/>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4"/>
              </w:rPr>
            </w:pPr>
            <w:r>
              <w:rPr>
                <w:rFonts w:hint="eastAsia" w:ascii="仿宋_GB2312" w:eastAsia="仿宋_GB2312"/>
                <w:sz w:val="24"/>
              </w:rPr>
              <w:t>经典索氏萃取、索氏热萃取、热萃取、连续萃取</w:t>
            </w:r>
          </w:p>
        </w:tc>
      </w:tr>
      <w:tr>
        <w:tblPrEx>
          <w:tblCellMar>
            <w:top w:w="0" w:type="dxa"/>
            <w:left w:w="108" w:type="dxa"/>
            <w:bottom w:w="0" w:type="dxa"/>
            <w:right w:w="108" w:type="dxa"/>
          </w:tblCellMar>
        </w:tblPrEx>
        <w:trPr>
          <w:trHeight w:val="1529" w:hRule="atLeast"/>
          <w:jc w:val="center"/>
        </w:trPr>
        <w:tc>
          <w:tcPr>
            <w:tcW w:w="870" w:type="dxa"/>
            <w:vMerge w:val="continue"/>
            <w:tcBorders>
              <w:top w:val="nil"/>
              <w:left w:val="single" w:color="auto" w:sz="4" w:space="0"/>
              <w:bottom w:val="single" w:color="auto" w:sz="4" w:space="0"/>
              <w:right w:val="single" w:color="auto" w:sz="4" w:space="0"/>
            </w:tcBorders>
            <w:vAlign w:val="center"/>
          </w:tcPr>
          <w:p>
            <w:pPr>
              <w:rPr>
                <w:rFonts w:ascii="仿宋_GB2312" w:eastAsia="仿宋_GB2312"/>
                <w:b/>
                <w:bCs/>
                <w:sz w:val="24"/>
              </w:rPr>
            </w:pPr>
          </w:p>
        </w:tc>
        <w:tc>
          <w:tcPr>
            <w:tcW w:w="1252" w:type="dxa"/>
            <w:tcBorders>
              <w:top w:val="nil"/>
              <w:left w:val="nil"/>
              <w:bottom w:val="single" w:color="auto" w:sz="4" w:space="0"/>
              <w:right w:val="single" w:color="auto" w:sz="4" w:space="0"/>
            </w:tcBorders>
            <w:shd w:val="clear" w:color="auto" w:fill="auto"/>
            <w:vAlign w:val="center"/>
          </w:tcPr>
          <w:p>
            <w:pPr>
              <w:rPr>
                <w:rFonts w:ascii="仿宋_GB2312" w:eastAsia="仿宋_GB2312"/>
                <w:b/>
                <w:bCs/>
                <w:sz w:val="24"/>
              </w:rPr>
            </w:pPr>
            <w:r>
              <w:rPr>
                <w:rFonts w:hint="eastAsia" w:ascii="仿宋_GB2312" w:eastAsia="仿宋_GB2312"/>
                <w:b/>
                <w:bCs/>
                <w:sz w:val="24"/>
              </w:rPr>
              <w:t>防止溶剂爆沸设计</w:t>
            </w:r>
          </w:p>
        </w:tc>
        <w:tc>
          <w:tcPr>
            <w:tcW w:w="3260" w:type="dxa"/>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4"/>
              </w:rPr>
            </w:pPr>
            <w:r>
              <w:rPr>
                <w:rFonts w:hint="eastAsia" w:ascii="仿宋_GB2312" w:eastAsia="仿宋_GB2312"/>
                <w:sz w:val="24"/>
              </w:rPr>
              <w:t>烧杯底部独特的磨砂设计</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4"/>
              </w:rPr>
            </w:pPr>
            <w:r>
              <w:rPr>
                <w:rFonts w:hint="eastAsia" w:ascii="仿宋_GB2312" w:eastAsia="仿宋_GB2312"/>
                <w:sz w:val="24"/>
              </w:rPr>
              <w:t>IP65，</w:t>
            </w:r>
            <w:r>
              <w:rPr>
                <w:rFonts w:ascii="仿宋_GB2312" w:eastAsia="仿宋_GB2312"/>
                <w:sz w:val="24"/>
              </w:rPr>
              <w:t> ATEX</w:t>
            </w:r>
          </w:p>
        </w:tc>
        <w:tc>
          <w:tcPr>
            <w:tcW w:w="3317" w:type="dxa"/>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4"/>
              </w:rPr>
            </w:pPr>
            <w:r>
              <w:rPr>
                <w:rFonts w:hint="eastAsia" w:ascii="仿宋_GB2312" w:eastAsia="仿宋_GB2312"/>
                <w:sz w:val="24"/>
              </w:rPr>
              <w:t>仪器加热温度根据试剂的沸点来设置，仪器控温精准，只要设定温度不超过试剂沸点太多，不会产生爆沸现象。溶剂到达沸点蒸发，顶部冷凝管进行冷凝</w:t>
            </w:r>
          </w:p>
        </w:tc>
      </w:tr>
      <w:tr>
        <w:tblPrEx>
          <w:tblCellMar>
            <w:top w:w="0" w:type="dxa"/>
            <w:left w:w="108" w:type="dxa"/>
            <w:bottom w:w="0" w:type="dxa"/>
            <w:right w:w="108" w:type="dxa"/>
          </w:tblCellMar>
        </w:tblPrEx>
        <w:trPr>
          <w:trHeight w:val="274" w:hRule="atLeast"/>
          <w:jc w:val="center"/>
        </w:trPr>
        <w:tc>
          <w:tcPr>
            <w:tcW w:w="870" w:type="dxa"/>
            <w:vMerge w:val="continue"/>
            <w:tcBorders>
              <w:top w:val="nil"/>
              <w:left w:val="single" w:color="auto" w:sz="4" w:space="0"/>
              <w:bottom w:val="single" w:color="auto" w:sz="4" w:space="0"/>
              <w:right w:val="single" w:color="auto" w:sz="4" w:space="0"/>
            </w:tcBorders>
            <w:vAlign w:val="center"/>
          </w:tcPr>
          <w:p>
            <w:pPr>
              <w:rPr>
                <w:rFonts w:ascii="仿宋_GB2312" w:eastAsia="仿宋_GB2312"/>
                <w:b/>
                <w:bCs/>
                <w:sz w:val="24"/>
              </w:rPr>
            </w:pPr>
          </w:p>
        </w:tc>
        <w:tc>
          <w:tcPr>
            <w:tcW w:w="1252" w:type="dxa"/>
            <w:tcBorders>
              <w:top w:val="nil"/>
              <w:left w:val="nil"/>
              <w:bottom w:val="single" w:color="auto" w:sz="4" w:space="0"/>
              <w:right w:val="single" w:color="auto" w:sz="4" w:space="0"/>
            </w:tcBorders>
            <w:shd w:val="clear" w:color="auto" w:fill="auto"/>
            <w:vAlign w:val="center"/>
          </w:tcPr>
          <w:p>
            <w:pPr>
              <w:rPr>
                <w:rFonts w:ascii="仿宋_GB2312" w:eastAsia="仿宋_GB2312"/>
                <w:b/>
                <w:bCs/>
                <w:sz w:val="24"/>
              </w:rPr>
            </w:pPr>
            <w:r>
              <w:rPr>
                <w:rFonts w:hint="eastAsia" w:ascii="仿宋_GB2312" w:eastAsia="仿宋_GB2312"/>
                <w:b/>
                <w:bCs/>
                <w:sz w:val="24"/>
              </w:rPr>
              <w:t>实验过程可视化情况</w:t>
            </w:r>
          </w:p>
        </w:tc>
        <w:tc>
          <w:tcPr>
            <w:tcW w:w="3260" w:type="dxa"/>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4"/>
              </w:rPr>
            </w:pPr>
            <w:r>
              <w:rPr>
                <w:rFonts w:hint="eastAsia" w:ascii="仿宋_GB2312" w:eastAsia="仿宋_GB2312"/>
                <w:sz w:val="24"/>
              </w:rPr>
              <w:t>整个萃取过程完全可见，玻璃组件可轻松取放和拆卸，便于清洁，可在烘箱高温中烘烤去除污染物</w:t>
            </w:r>
          </w:p>
        </w:tc>
        <w:tc>
          <w:tcPr>
            <w:tcW w:w="2835" w:type="dxa"/>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4"/>
              </w:rPr>
            </w:pPr>
            <w:r>
              <w:rPr>
                <w:rFonts w:hint="eastAsia" w:ascii="仿宋_GB2312" w:eastAsia="仿宋_GB2312"/>
                <w:sz w:val="24"/>
              </w:rPr>
              <w:t>清晰可见</w:t>
            </w:r>
          </w:p>
        </w:tc>
        <w:tc>
          <w:tcPr>
            <w:tcW w:w="3317" w:type="dxa"/>
            <w:tcBorders>
              <w:top w:val="nil"/>
              <w:left w:val="nil"/>
              <w:bottom w:val="single" w:color="auto" w:sz="4" w:space="0"/>
              <w:right w:val="single" w:color="auto" w:sz="4" w:space="0"/>
            </w:tcBorders>
            <w:shd w:val="clear" w:color="auto" w:fill="auto"/>
            <w:vAlign w:val="center"/>
          </w:tcPr>
          <w:p>
            <w:pPr>
              <w:jc w:val="center"/>
              <w:rPr>
                <w:rFonts w:ascii="仿宋_GB2312" w:eastAsia="仿宋_GB2312"/>
                <w:sz w:val="24"/>
              </w:rPr>
            </w:pPr>
            <w:r>
              <w:rPr>
                <w:rFonts w:hint="eastAsia" w:ascii="仿宋_GB2312" w:eastAsia="仿宋_GB2312"/>
                <w:sz w:val="24"/>
              </w:rPr>
              <w:t>实验可视化，格丹纳FT660有透明的视窗，直接就能看到</w:t>
            </w:r>
          </w:p>
        </w:tc>
      </w:tr>
    </w:tbl>
    <w:p>
      <w:pPr>
        <w:snapToGrid w:val="0"/>
        <w:spacing w:line="540" w:lineRule="exact"/>
        <w:jc w:val="left"/>
        <w:rPr>
          <w:rFonts w:ascii="仿宋_GB2312" w:hAnsi="仿宋_GB2312" w:eastAsia="仿宋_GB2312" w:cs="仿宋_GB2312"/>
          <w:b/>
          <w:color w:val="000000"/>
          <w:sz w:val="32"/>
          <w:szCs w:val="32"/>
        </w:rPr>
      </w:pPr>
    </w:p>
    <w:p>
      <w:pPr>
        <w:snapToGrid w:val="0"/>
        <w:spacing w:line="54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四、条件准备情况</w:t>
      </w:r>
    </w:p>
    <w:p>
      <w:pPr>
        <w:snapToGrid w:val="0"/>
        <w:spacing w:line="54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实验室具备电（220V单相电源）、通风（排气系统）、实验平台等安装条件。</w:t>
      </w:r>
    </w:p>
    <w:p>
      <w:pPr>
        <w:snapToGrid w:val="0"/>
        <w:spacing w:line="54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五、可能存在的安全性问题</w:t>
      </w:r>
    </w:p>
    <w:p>
      <w:pPr>
        <w:snapToGrid w:val="0"/>
        <w:spacing w:line="54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该设备使用过程无放射物产生，可能产生少量废气、废液可由通风净化系统及废液收集系统处理，不会产生安全性问题。</w:t>
      </w: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59264" behindDoc="1" locked="0" layoutInCell="1" allowOverlap="1">
              <wp:simplePos x="0" y="0"/>
              <wp:positionH relativeFrom="page">
                <wp:posOffset>3839210</wp:posOffset>
              </wp:positionH>
              <wp:positionV relativeFrom="page">
                <wp:posOffset>10211435</wp:posOffset>
              </wp:positionV>
              <wp:extent cx="187325" cy="77470"/>
              <wp:effectExtent l="0" t="0" r="0" b="0"/>
              <wp:wrapNone/>
              <wp:docPr id="10" name="Shape 10"/>
              <wp:cNvGraphicFramePr/>
              <a:graphic xmlns:a="http://schemas.openxmlformats.org/drawingml/2006/main">
                <a:graphicData uri="http://schemas.microsoft.com/office/word/2010/wordprocessingShape">
                  <wps:wsp>
                    <wps:cNvSpPr txBox="1"/>
                    <wps:spPr>
                      <a:xfrm>
                        <a:off x="0" y="0"/>
                        <a:ext cx="187325" cy="77470"/>
                      </a:xfrm>
                      <a:prstGeom prst="rect">
                        <a:avLst/>
                      </a:prstGeom>
                      <a:noFill/>
                    </wps:spPr>
                    <wps:txbx>
                      <w:txbxContent>
                        <w:p>
                          <w:pPr>
                            <w:pStyle w:val="12"/>
                            <w:jc w:val="left"/>
                            <w:rPr>
                              <w:sz w:val="18"/>
                              <w:szCs w:val="18"/>
                            </w:rPr>
                          </w:pPr>
                          <w:r>
                            <w:rPr>
                              <w:rFonts w:ascii="Times New Roman" w:hAnsi="Times New Roman" w:eastAsia="Times New Roman" w:cs="Times New Roman"/>
                              <w:color w:val="000000"/>
                              <w:sz w:val="18"/>
                              <w:szCs w:val="18"/>
                            </w:rPr>
                            <w:t>-1 -</w:t>
                          </w:r>
                        </w:p>
                      </w:txbxContent>
                    </wps:txbx>
                    <wps:bodyPr wrap="none" lIns="0" tIns="0" rIns="0" bIns="0">
                      <a:spAutoFit/>
                    </wps:bodyPr>
                  </wps:wsp>
                </a:graphicData>
              </a:graphic>
            </wp:anchor>
          </w:drawing>
        </mc:Choice>
        <mc:Fallback>
          <w:pict>
            <v:shape id="Shape 10" o:spid="_x0000_s1026" o:spt="202" type="#_x0000_t202" style="position:absolute;left:0pt;margin-left:302.3pt;margin-top:804.05pt;height:6.1pt;width:14.75pt;mso-position-horizontal-relative:page;mso-position-vertical-relative:page;mso-wrap-style:none;z-index:-251657216;mso-width-relative:page;mso-height-relative:page;" filled="f" stroked="f" coordsize="21600,21600" o:gfxdata="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KL9aJ2AAA&#10;AA0BAAAPAAAAAAAAAAEAIAAAACIAAABkcnMvZG93bnJldi54bWxQSwECFAAUAAAACACHTuJAuqom&#10;dawBAABwAwAADgAAAAAAAAABACAAAAAnAQAAZHJzL2Uyb0RvYy54bWxQSwUGAAAAAAYABgBZAQAA&#10;RQUAAAAA&#10;">
              <v:fill on="f" focussize="0,0"/>
              <v:stroke on="f"/>
              <v:imagedata o:title=""/>
              <o:lock v:ext="edit" aspectratio="f"/>
              <v:textbox inset="0mm,0mm,0mm,0mm" style="mso-fit-shape-to-text:t;">
                <w:txbxContent>
                  <w:p>
                    <w:pPr>
                      <w:pStyle w:val="12"/>
                      <w:jc w:val="left"/>
                      <w:rPr>
                        <w:sz w:val="18"/>
                        <w:szCs w:val="18"/>
                      </w:rPr>
                    </w:pPr>
                    <w:r>
                      <w:rPr>
                        <w:rFonts w:ascii="Times New Roman" w:hAnsi="Times New Roman" w:eastAsia="Times New Roman" w:cs="Times New Roman"/>
                        <w:color w:val="000000"/>
                        <w:sz w:val="18"/>
                        <w:szCs w:val="18"/>
                      </w:rPr>
                      <w:t>-1 -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MxYjQ1OGJmOTUwZGU5MWQ2NDE2MTQ2MzA3YzI0NTEifQ=="/>
  </w:docVars>
  <w:rsids>
    <w:rsidRoot w:val="30C84A8F"/>
    <w:rsid w:val="00023212"/>
    <w:rsid w:val="0004008B"/>
    <w:rsid w:val="00052A08"/>
    <w:rsid w:val="000728D9"/>
    <w:rsid w:val="000C2460"/>
    <w:rsid w:val="001D5957"/>
    <w:rsid w:val="001E69EA"/>
    <w:rsid w:val="00235F95"/>
    <w:rsid w:val="00243407"/>
    <w:rsid w:val="00251D48"/>
    <w:rsid w:val="002B1651"/>
    <w:rsid w:val="00310F1E"/>
    <w:rsid w:val="00381E33"/>
    <w:rsid w:val="003858A5"/>
    <w:rsid w:val="003D28C0"/>
    <w:rsid w:val="004E5283"/>
    <w:rsid w:val="00537A86"/>
    <w:rsid w:val="0056754F"/>
    <w:rsid w:val="0059767E"/>
    <w:rsid w:val="005C5897"/>
    <w:rsid w:val="006023DE"/>
    <w:rsid w:val="00665F0A"/>
    <w:rsid w:val="00673B8C"/>
    <w:rsid w:val="006B3B44"/>
    <w:rsid w:val="006D6961"/>
    <w:rsid w:val="006E780B"/>
    <w:rsid w:val="006F7AFC"/>
    <w:rsid w:val="0073091C"/>
    <w:rsid w:val="00730BF5"/>
    <w:rsid w:val="00754D89"/>
    <w:rsid w:val="0082459F"/>
    <w:rsid w:val="008515A1"/>
    <w:rsid w:val="008D2B82"/>
    <w:rsid w:val="008D4F3B"/>
    <w:rsid w:val="008D75FB"/>
    <w:rsid w:val="00915904"/>
    <w:rsid w:val="00983DBE"/>
    <w:rsid w:val="00AE1BDC"/>
    <w:rsid w:val="00AF2930"/>
    <w:rsid w:val="00BC7794"/>
    <w:rsid w:val="00C83FC9"/>
    <w:rsid w:val="00C86860"/>
    <w:rsid w:val="00E377D8"/>
    <w:rsid w:val="00EB7E60"/>
    <w:rsid w:val="00F049B8"/>
    <w:rsid w:val="00FE03E0"/>
    <w:rsid w:val="00FF06A8"/>
    <w:rsid w:val="00FF1C02"/>
    <w:rsid w:val="01EA0E83"/>
    <w:rsid w:val="0301396B"/>
    <w:rsid w:val="05154E61"/>
    <w:rsid w:val="0ACD3951"/>
    <w:rsid w:val="0C2107A9"/>
    <w:rsid w:val="0CF462EF"/>
    <w:rsid w:val="108F4BD1"/>
    <w:rsid w:val="11C95F9C"/>
    <w:rsid w:val="1209283C"/>
    <w:rsid w:val="130628D8"/>
    <w:rsid w:val="14C94C7D"/>
    <w:rsid w:val="15F31BF6"/>
    <w:rsid w:val="1B3773CE"/>
    <w:rsid w:val="1E592455"/>
    <w:rsid w:val="1FBB33A3"/>
    <w:rsid w:val="23201794"/>
    <w:rsid w:val="235F050E"/>
    <w:rsid w:val="240E07A9"/>
    <w:rsid w:val="251D242F"/>
    <w:rsid w:val="257B5FDE"/>
    <w:rsid w:val="25C44658"/>
    <w:rsid w:val="29D46E34"/>
    <w:rsid w:val="2B2160A9"/>
    <w:rsid w:val="2B724B56"/>
    <w:rsid w:val="2C5509C3"/>
    <w:rsid w:val="2E6863BB"/>
    <w:rsid w:val="2E7F7CB6"/>
    <w:rsid w:val="304F04EB"/>
    <w:rsid w:val="30C84A8F"/>
    <w:rsid w:val="33F9446E"/>
    <w:rsid w:val="348009CD"/>
    <w:rsid w:val="3522139B"/>
    <w:rsid w:val="35BA60CE"/>
    <w:rsid w:val="39C33C94"/>
    <w:rsid w:val="3D0535B4"/>
    <w:rsid w:val="40C33A32"/>
    <w:rsid w:val="47947ED7"/>
    <w:rsid w:val="483E65AE"/>
    <w:rsid w:val="4BFE6267"/>
    <w:rsid w:val="4C2A6435"/>
    <w:rsid w:val="536D782E"/>
    <w:rsid w:val="55591C47"/>
    <w:rsid w:val="564927D4"/>
    <w:rsid w:val="57D85FAF"/>
    <w:rsid w:val="5F131BD1"/>
    <w:rsid w:val="62FD0613"/>
    <w:rsid w:val="709541F4"/>
    <w:rsid w:val="70FF1E55"/>
    <w:rsid w:val="74543DB5"/>
    <w:rsid w:val="77B27D81"/>
    <w:rsid w:val="7BD5403F"/>
    <w:rsid w:val="7BFF2E69"/>
    <w:rsid w:val="7E4379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7"/>
    <w:qFormat/>
    <w:uiPriority w:val="0"/>
    <w:rPr>
      <w:sz w:val="18"/>
      <w:szCs w:val="18"/>
    </w:rPr>
  </w:style>
  <w:style w:type="paragraph" w:styleId="3">
    <w:name w:val="footer"/>
    <w:basedOn w:val="1"/>
    <w:link w:val="15"/>
    <w:uiPriority w:val="0"/>
    <w:pPr>
      <w:tabs>
        <w:tab w:val="center" w:pos="4153"/>
        <w:tab w:val="right" w:pos="8306"/>
      </w:tabs>
      <w:snapToGrid w:val="0"/>
      <w:jc w:val="left"/>
    </w:pPr>
    <w:rPr>
      <w:sz w:val="18"/>
      <w:szCs w:val="18"/>
    </w:rPr>
  </w:style>
  <w:style w:type="paragraph" w:styleId="4">
    <w:name w:val="header"/>
    <w:basedOn w:val="1"/>
    <w:link w:val="14"/>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0"/>
    <w:pPr>
      <w:widowControl/>
      <w:spacing w:before="100" w:beforeAutospacing="1" w:after="100" w:afterAutospacing="1"/>
      <w:jc w:val="left"/>
    </w:pPr>
    <w:rPr>
      <w:rFonts w:ascii="宋体" w:hAnsi="宋体" w:eastAsia="宋体" w:cs="宋体"/>
      <w:kern w:val="0"/>
      <w:sz w:val="24"/>
    </w:rPr>
  </w:style>
  <w:style w:type="paragraph" w:styleId="8">
    <w:name w:val="List Paragraph"/>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9">
    <w:name w:val="Heading #4|1"/>
    <w:basedOn w:val="1"/>
    <w:qFormat/>
    <w:uiPriority w:val="0"/>
    <w:pPr>
      <w:spacing w:after="70" w:line="414" w:lineRule="exact"/>
      <w:outlineLvl w:val="3"/>
    </w:pPr>
    <w:rPr>
      <w:rFonts w:ascii="宋体" w:hAnsi="宋体" w:eastAsia="宋体" w:cs="宋体"/>
      <w:sz w:val="28"/>
      <w:szCs w:val="28"/>
      <w:lang w:val="zh-TW" w:eastAsia="zh-TW" w:bidi="zh-TW"/>
    </w:rPr>
  </w:style>
  <w:style w:type="paragraph" w:customStyle="1" w:styleId="10">
    <w:name w:val="Body text|1"/>
    <w:basedOn w:val="1"/>
    <w:qFormat/>
    <w:uiPriority w:val="0"/>
    <w:pPr>
      <w:spacing w:after="300" w:line="454" w:lineRule="auto"/>
      <w:ind w:firstLine="400"/>
    </w:pPr>
    <w:rPr>
      <w:rFonts w:ascii="宋体" w:hAnsi="宋体" w:eastAsia="宋体" w:cs="宋体"/>
      <w:sz w:val="22"/>
      <w:szCs w:val="22"/>
      <w:lang w:val="zh-TW" w:eastAsia="zh-TW" w:bidi="zh-TW"/>
    </w:rPr>
  </w:style>
  <w:style w:type="paragraph" w:customStyle="1" w:styleId="11">
    <w:name w:val="Other|1"/>
    <w:basedOn w:val="1"/>
    <w:qFormat/>
    <w:uiPriority w:val="0"/>
    <w:pPr>
      <w:spacing w:after="300" w:line="454" w:lineRule="auto"/>
      <w:ind w:firstLine="400"/>
    </w:pPr>
    <w:rPr>
      <w:rFonts w:ascii="宋体" w:hAnsi="宋体" w:eastAsia="宋体" w:cs="宋体"/>
      <w:sz w:val="22"/>
      <w:szCs w:val="22"/>
      <w:lang w:val="zh-TW" w:eastAsia="zh-TW" w:bidi="zh-TW"/>
    </w:rPr>
  </w:style>
  <w:style w:type="paragraph" w:customStyle="1" w:styleId="12">
    <w:name w:val="Header or footer|2"/>
    <w:basedOn w:val="1"/>
    <w:qFormat/>
    <w:uiPriority w:val="0"/>
    <w:rPr>
      <w:sz w:val="20"/>
      <w:szCs w:val="20"/>
      <w:lang w:val="zh-TW" w:eastAsia="zh-TW" w:bidi="zh-TW"/>
    </w:rPr>
  </w:style>
  <w:style w:type="paragraph" w:customStyle="1" w:styleId="13">
    <w:name w:val="Body text|2"/>
    <w:basedOn w:val="1"/>
    <w:qFormat/>
    <w:uiPriority w:val="0"/>
    <w:pPr>
      <w:spacing w:line="736" w:lineRule="exact"/>
      <w:ind w:left="340" w:hanging="340"/>
    </w:pPr>
    <w:rPr>
      <w:rFonts w:ascii="宋体" w:hAnsi="宋体" w:eastAsia="宋体" w:cs="宋体"/>
      <w:sz w:val="28"/>
      <w:szCs w:val="28"/>
      <w:lang w:val="zh-TW" w:eastAsia="zh-TW" w:bidi="zh-TW"/>
    </w:rPr>
  </w:style>
  <w:style w:type="character" w:customStyle="1" w:styleId="14">
    <w:name w:val="页眉 字符"/>
    <w:basedOn w:val="7"/>
    <w:link w:val="4"/>
    <w:qFormat/>
    <w:uiPriority w:val="0"/>
    <w:rPr>
      <w:rFonts w:asciiTheme="minorHAnsi" w:hAnsiTheme="minorHAnsi" w:eastAsiaTheme="minorEastAsia" w:cstheme="minorBidi"/>
      <w:kern w:val="2"/>
      <w:sz w:val="18"/>
      <w:szCs w:val="18"/>
    </w:rPr>
  </w:style>
  <w:style w:type="character" w:customStyle="1" w:styleId="15">
    <w:name w:val="页脚 字符"/>
    <w:basedOn w:val="7"/>
    <w:link w:val="3"/>
    <w:qFormat/>
    <w:uiPriority w:val="0"/>
    <w:rPr>
      <w:rFonts w:asciiTheme="minorHAnsi" w:hAnsiTheme="minorHAnsi" w:eastAsiaTheme="minorEastAsia" w:cstheme="minorBidi"/>
      <w:kern w:val="2"/>
      <w:sz w:val="18"/>
      <w:szCs w:val="18"/>
    </w:rPr>
  </w:style>
  <w:style w:type="paragraph" w:customStyle="1" w:styleId="16">
    <w:name w:val="修订1"/>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17">
    <w:name w:val="批注框文本 字符"/>
    <w:basedOn w:val="7"/>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1545</Words>
  <Characters>1596</Characters>
  <Lines>12</Lines>
  <Paragraphs>3</Paragraphs>
  <TotalTime>80</TotalTime>
  <ScaleCrop>false</ScaleCrop>
  <LinksUpToDate>false</LinksUpToDate>
  <CharactersWithSpaces>1597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2023-03-13T11:43:00Z</dcterms:created>
  <dc:creator>阿融</dc:creator>
  <cp:lastModifiedBy>。</cp:lastModifiedBy>
  <dcterms:modified xsi:type="dcterms:W3CDTF">2023-03-29T12:13:33Z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62737996527D4D749885DEC555C236FB</vt:lpwstr>
  </property>
</Properties>
</file>