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C6634" w14:textId="77777777" w:rsidR="006F7AFC" w:rsidRDefault="006B3B44">
      <w:pPr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清源创新实验室</w:t>
      </w:r>
      <w:r w:rsidR="009876DF" w:rsidRPr="009876DF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制备型气相色谱仪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需求调研情况</w:t>
      </w:r>
    </w:p>
    <w:p w14:paraId="0B69A792" w14:textId="77777777" w:rsidR="006F7AFC" w:rsidRDefault="006B3B44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一、仪器设备使用的项目</w:t>
      </w:r>
    </w:p>
    <w:p w14:paraId="6F4E34DF" w14:textId="77777777" w:rsidR="000C2460" w:rsidRPr="00D8013B" w:rsidRDefault="000C2460" w:rsidP="00B459C4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0C246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中国福建化学工程科学与技术创新实验室(清源创新实验室)</w:t>
      </w:r>
      <w:r w:rsidR="00294C16" w:rsidRPr="00294C1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小中试基地</w:t>
      </w:r>
      <w:r w:rsidRPr="000C246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拟购置</w:t>
      </w:r>
      <w:r w:rsidR="00294C16" w:rsidRPr="00294C1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制备型气相色谱仪</w:t>
      </w:r>
      <w:r w:rsidR="00294C1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="00294C16" w:rsidRPr="000457C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利用该设备对</w:t>
      </w:r>
      <w:r w:rsidR="001F68B7" w:rsidRPr="000457C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聚烯烃材料、石油化工产品中微量或痕量物质</w:t>
      </w:r>
      <w:r w:rsidR="00294C16" w:rsidRPr="000457C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进行富集提纯，满足后续研究中对实验样品浓度的要求。</w:t>
      </w:r>
      <w:r w:rsidR="00294C16" w:rsidRPr="00294C1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该仪器能满足清源创新实验室小中试基地急剧增长的科研需求，同时可为清源创新实验室其他科研团队提供公共检测服务，促进平台建设及人才培养。</w:t>
      </w:r>
      <w:r w:rsidR="001F68B7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但</w:t>
      </w:r>
      <w:r w:rsidR="00B459C4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清源创新实验室</w:t>
      </w:r>
      <w:r w:rsidR="000457C9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小中试基地</w:t>
      </w:r>
      <w:r w:rsidR="001F68B7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目前没有制备型气相色谱，无法开展相关的研究工作。</w:t>
      </w:r>
      <w:r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鉴于上述情况，</w:t>
      </w:r>
      <w:r w:rsidR="001F68B7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小中试基地</w:t>
      </w:r>
      <w:r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经过多轮讨论，一致认为，</w:t>
      </w:r>
      <w:r w:rsidR="00294C16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制备型气相色谱仪</w:t>
      </w:r>
      <w:r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是清源创新实验室</w:t>
      </w:r>
      <w:r w:rsidR="000457C9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小中试基地</w:t>
      </w:r>
      <w:r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目前需求迫切、能发挥较大效益的分析仪器。所以清源创新实验室</w:t>
      </w:r>
      <w:r w:rsidR="00B459C4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小中试基地</w:t>
      </w:r>
      <w:r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申请购置一台主要服务于清源创新实验室、以测试为主、性能指标能够满足常规科研和教学需要、精确度高、性能稳定可靠的</w:t>
      </w:r>
      <w:r w:rsidR="00294C16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制备型气相色谱仪</w:t>
      </w:r>
      <w:r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264F4EFE" w14:textId="77777777" w:rsidR="006F7AFC" w:rsidRPr="00D8013B" w:rsidRDefault="006B3B44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二、在该项目中所承担的任务</w:t>
      </w:r>
    </w:p>
    <w:p w14:paraId="4B96230A" w14:textId="77777777" w:rsidR="000C2460" w:rsidRDefault="00294C16" w:rsidP="00B459C4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制备型气相色谱仪是可以对</w:t>
      </w:r>
      <w:r w:rsidR="00B459C4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聚烯烃材料、石油化工产品中微量或痕量</w:t>
      </w:r>
      <w:r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目标化合物进行重复收集，实现痕量富集的装置</w:t>
      </w:r>
      <w:r w:rsidR="001636D8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收集后的</w:t>
      </w:r>
      <w:r w:rsidR="00B459C4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物质</w:t>
      </w:r>
      <w:r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，其纯度和浓度</w:t>
      </w:r>
      <w:r w:rsidR="00B459C4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水平</w:t>
      </w:r>
      <w:r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提升，可以满足后续红外、核磁等测试的要求</w:t>
      </w:r>
      <w:r w:rsidR="001636D8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 w:rsidR="00B459C4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该设备的引入，有利于促进清源创新实验室</w:t>
      </w:r>
      <w:r w:rsidR="000457C9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小中试基地</w:t>
      </w:r>
      <w:r w:rsidR="00B459C4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</w:t>
      </w:r>
      <w:r w:rsidR="001636D8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聚烯烃材料</w:t>
      </w:r>
      <w:r w:rsidR="00B459C4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以及</w:t>
      </w:r>
      <w:r w:rsidR="001636D8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石油化工</w:t>
      </w:r>
      <w:r w:rsidR="00B459C4" w:rsidRPr="00D8013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等领域的研发工作，提升科研分析方面的水平，提高研究生的综合知识和创新能力。</w:t>
      </w:r>
    </w:p>
    <w:p w14:paraId="59CB1C62" w14:textId="77777777" w:rsidR="006F7AFC" w:rsidRDefault="006B3B44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三、国内外同类项目所用的仪器设备及优缺点对比</w:t>
      </w:r>
    </w:p>
    <w:tbl>
      <w:tblPr>
        <w:tblW w:w="949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9"/>
        <w:gridCol w:w="3543"/>
        <w:gridCol w:w="3543"/>
      </w:tblGrid>
      <w:tr w:rsidR="009876DF" w:rsidRPr="009876DF" w14:paraId="64433427" w14:textId="77777777" w:rsidTr="00354976">
        <w:trPr>
          <w:trHeight w:val="536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0CCF10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品牌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70957E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Agilent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安捷伦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23E635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Da Vinci 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达芬奇</w:t>
            </w:r>
          </w:p>
        </w:tc>
      </w:tr>
      <w:tr w:rsidR="009876DF" w:rsidRPr="009876DF" w14:paraId="3F69FDD7" w14:textId="77777777" w:rsidTr="00294C16">
        <w:trPr>
          <w:trHeight w:val="504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349F27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型号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CA4C9F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Agilent 8890-5977C-PFC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EA451C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DP-GF-A8-10</w:t>
            </w:r>
          </w:p>
        </w:tc>
      </w:tr>
      <w:tr w:rsidR="009876DF" w:rsidRPr="009876DF" w14:paraId="796178B6" w14:textId="77777777" w:rsidTr="00294C16">
        <w:trPr>
          <w:trHeight w:val="398"/>
        </w:trPr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3C038F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一、工作条件</w:t>
            </w:r>
          </w:p>
        </w:tc>
      </w:tr>
      <w:tr w:rsidR="009876DF" w:rsidRPr="009876DF" w14:paraId="09990D4A" w14:textId="77777777" w:rsidTr="00294C16">
        <w:trPr>
          <w:trHeight w:val="802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60D04F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lastRenderedPageBreak/>
              <w:t xml:space="preserve">　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2439A5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环境温度：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15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～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35℃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br/>
            </w:r>
            <w:r w:rsidRPr="00D8013B">
              <w:rPr>
                <w:rFonts w:ascii="Times New Roman" w:eastAsia="仿宋" w:hAnsi="Times New Roman" w:cs="Times New Roman" w:hint="eastAsia"/>
                <w:sz w:val="24"/>
              </w:rPr>
              <w:t>相对湿度：</w:t>
            </w:r>
            <w:r w:rsidRPr="00D8013B">
              <w:rPr>
                <w:rFonts w:ascii="Times New Roman" w:eastAsia="仿宋" w:hAnsi="Times New Roman" w:cs="Times New Roman"/>
                <w:sz w:val="24"/>
              </w:rPr>
              <w:t>5</w:t>
            </w:r>
            <w:r w:rsidRPr="00D8013B">
              <w:rPr>
                <w:rFonts w:ascii="Times New Roman" w:eastAsia="仿宋" w:hAnsi="Times New Roman" w:cs="Times New Roman" w:hint="eastAsia"/>
                <w:sz w:val="24"/>
              </w:rPr>
              <w:t>～</w:t>
            </w:r>
            <w:r w:rsidRPr="00D8013B">
              <w:rPr>
                <w:rFonts w:ascii="Times New Roman" w:eastAsia="仿宋" w:hAnsi="Times New Roman" w:cs="Times New Roman"/>
                <w:sz w:val="24"/>
              </w:rPr>
              <w:t>90%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C44BB4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温度：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15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～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35℃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br/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相对湿度：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5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～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90%</w:t>
            </w:r>
          </w:p>
        </w:tc>
      </w:tr>
      <w:tr w:rsidR="009876DF" w:rsidRPr="009876DF" w14:paraId="34571F6A" w14:textId="77777777" w:rsidTr="00294C16">
        <w:trPr>
          <w:trHeight w:val="398"/>
        </w:trPr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9F7BA4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二、气相色谱部分</w:t>
            </w:r>
          </w:p>
        </w:tc>
      </w:tr>
      <w:tr w:rsidR="009876DF" w:rsidRPr="009876DF" w14:paraId="440A6783" w14:textId="77777777" w:rsidTr="00294C16">
        <w:trPr>
          <w:trHeight w:val="398"/>
        </w:trPr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5D0160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1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、气相性能</w:t>
            </w:r>
          </w:p>
        </w:tc>
      </w:tr>
      <w:tr w:rsidR="009876DF" w:rsidRPr="009876DF" w14:paraId="5240C4DF" w14:textId="77777777" w:rsidTr="00294C16">
        <w:trPr>
          <w:trHeight w:val="395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31E9CD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保留时间重现性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E335D0" w14:textId="77777777" w:rsidR="009876DF" w:rsidRPr="00D8013B" w:rsidRDefault="009876DF" w:rsidP="000457C9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8013B">
              <w:rPr>
                <w:rFonts w:ascii="Times New Roman" w:eastAsia="仿宋" w:hAnsi="Times New Roman" w:cs="Times New Roman" w:hint="eastAsia"/>
                <w:sz w:val="24"/>
              </w:rPr>
              <w:t>〈</w:t>
            </w:r>
            <w:r w:rsidRPr="00D8013B">
              <w:rPr>
                <w:rFonts w:ascii="Times New Roman" w:eastAsia="仿宋" w:hAnsi="Times New Roman" w:cs="Times New Roman"/>
                <w:sz w:val="24"/>
              </w:rPr>
              <w:t>0.00</w:t>
            </w:r>
            <w:r w:rsidR="000457C9" w:rsidRPr="00D8013B">
              <w:rPr>
                <w:rFonts w:ascii="Times New Roman" w:eastAsia="仿宋" w:hAnsi="Times New Roman" w:cs="Times New Roman" w:hint="eastAsia"/>
                <w:sz w:val="24"/>
              </w:rPr>
              <w:t>8</w:t>
            </w:r>
            <w:r w:rsidRPr="00D8013B">
              <w:rPr>
                <w:rFonts w:ascii="Times New Roman" w:eastAsia="仿宋" w:hAnsi="Times New Roman" w:cs="Times New Roman"/>
                <w:sz w:val="24"/>
              </w:rPr>
              <w:t>%</w:t>
            </w:r>
            <w:r w:rsidR="000457C9" w:rsidRPr="00D8013B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944C53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〈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0.008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分钟</w:t>
            </w:r>
          </w:p>
        </w:tc>
      </w:tr>
      <w:tr w:rsidR="009876DF" w:rsidRPr="009876DF" w14:paraId="00E56C1F" w14:textId="77777777" w:rsidTr="00294C16">
        <w:trPr>
          <w:trHeight w:val="393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CD8C1C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峰面积重现性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84D3A1" w14:textId="77777777" w:rsidR="009876DF" w:rsidRPr="00D8013B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8013B">
              <w:rPr>
                <w:rFonts w:ascii="Times New Roman" w:eastAsia="仿宋" w:hAnsi="Times New Roman" w:cs="Times New Roman" w:hint="eastAsia"/>
                <w:sz w:val="24"/>
              </w:rPr>
              <w:t>〈</w:t>
            </w:r>
            <w:r w:rsidRPr="00D8013B">
              <w:rPr>
                <w:rFonts w:ascii="Times New Roman" w:eastAsia="仿宋" w:hAnsi="Times New Roman" w:cs="Times New Roman"/>
                <w:sz w:val="24"/>
              </w:rPr>
              <w:t>0.</w:t>
            </w:r>
            <w:r w:rsidR="000457C9" w:rsidRPr="00D8013B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D8013B">
              <w:rPr>
                <w:rFonts w:ascii="Times New Roman" w:eastAsia="仿宋" w:hAnsi="Times New Roman" w:cs="Times New Roman"/>
                <w:sz w:val="24"/>
              </w:rPr>
              <w:t>%RSD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B7AFF0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〈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0.5%RSD</w:t>
            </w:r>
          </w:p>
        </w:tc>
      </w:tr>
      <w:tr w:rsidR="009876DF" w:rsidRPr="009876DF" w14:paraId="2EB9CD6F" w14:textId="77777777" w:rsidTr="00294C16">
        <w:trPr>
          <w:trHeight w:val="565"/>
        </w:trPr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71A452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2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、检测器</w:t>
            </w:r>
          </w:p>
        </w:tc>
      </w:tr>
      <w:tr w:rsidR="009876DF" w:rsidRPr="009876DF" w14:paraId="60320FBE" w14:textId="77777777" w:rsidTr="00294C16">
        <w:trPr>
          <w:trHeight w:val="783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0AF311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  <w:t>FID,</w:t>
            </w: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检测限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1BA18E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&lt;1.2pg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碳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/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秒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(100ppb)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1177E9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1.2pg </w:t>
            </w:r>
            <w:r w:rsidR="001636D8" w:rsidRPr="000457C9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碳</w:t>
            </w:r>
            <w:r w:rsidR="001636D8"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>/</w:t>
            </w:r>
            <w:r w:rsidR="001636D8" w:rsidRPr="000457C9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秒</w:t>
            </w:r>
            <w:r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( </w:t>
            </w:r>
            <w:r w:rsidRPr="000457C9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正十三烷</w:t>
            </w:r>
            <w:r w:rsidRPr="000457C9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 xml:space="preserve"> </w:t>
            </w:r>
            <w:r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>)</w:t>
            </w:r>
          </w:p>
        </w:tc>
      </w:tr>
      <w:tr w:rsidR="009876DF" w:rsidRPr="009876DF" w14:paraId="7402728B" w14:textId="77777777" w:rsidTr="00294C16">
        <w:trPr>
          <w:trHeight w:val="783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92CDA7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  <w:t>MS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E87382" w14:textId="77777777" w:rsidR="001636D8" w:rsidRPr="000457C9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0457C9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质量数范围：</w:t>
            </w:r>
            <w:r w:rsidR="001636D8"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>0.6amu</w:t>
            </w:r>
            <w:r w:rsidR="001636D8" w:rsidRPr="000457C9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-</w:t>
            </w:r>
            <w:r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>1091amu</w:t>
            </w:r>
            <w:r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>或更宽；</w:t>
            </w:r>
          </w:p>
          <w:p w14:paraId="75A4152B" w14:textId="77777777" w:rsidR="001636D8" w:rsidRPr="000457C9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>信</w:t>
            </w:r>
            <w:r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>/</w:t>
            </w:r>
            <w:r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>噪比</w:t>
            </w:r>
            <w:r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>≥5000</w:t>
            </w:r>
            <w:r w:rsidR="001636D8" w:rsidRPr="000457C9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:</w:t>
            </w:r>
            <w:r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>1</w:t>
            </w:r>
            <w:r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>；</w:t>
            </w:r>
          </w:p>
          <w:p w14:paraId="32CD15BF" w14:textId="77777777" w:rsidR="001636D8" w:rsidRPr="000457C9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>离子化能量：</w:t>
            </w:r>
            <w:r w:rsidR="001636D8"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>5 eV</w:t>
            </w:r>
            <w:r w:rsidR="001636D8" w:rsidRPr="000457C9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-</w:t>
            </w:r>
            <w:r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>241.5eV</w:t>
            </w:r>
            <w:r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>或更宽；</w:t>
            </w:r>
          </w:p>
          <w:p w14:paraId="00C8156F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0457C9">
              <w:rPr>
                <w:rFonts w:ascii="Times New Roman" w:eastAsia="仿宋" w:hAnsi="Times New Roman" w:cs="Times New Roman"/>
                <w:color w:val="000000"/>
                <w:sz w:val="24"/>
              </w:rPr>
              <w:t>共轭双曲面四极杆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EAFD06" w14:textId="77777777" w:rsidR="001636D8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质量数范围：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1.6-1000amu;</w:t>
            </w:r>
          </w:p>
          <w:p w14:paraId="4FF97D69" w14:textId="77777777" w:rsidR="001636D8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整体石英镀金双曲面四极杆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;</w:t>
            </w:r>
          </w:p>
          <w:p w14:paraId="314D0D42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离子化能量：最高可至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240eV</w:t>
            </w:r>
          </w:p>
        </w:tc>
      </w:tr>
      <w:tr w:rsidR="009876DF" w:rsidRPr="009876DF" w14:paraId="6ABD9047" w14:textId="77777777" w:rsidTr="00294C16">
        <w:trPr>
          <w:trHeight w:val="477"/>
        </w:trPr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F128F9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3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、柱温箱</w:t>
            </w:r>
          </w:p>
        </w:tc>
      </w:tr>
      <w:tr w:rsidR="009876DF" w:rsidRPr="009876DF" w14:paraId="66318138" w14:textId="77777777" w:rsidTr="00294C16">
        <w:trPr>
          <w:trHeight w:val="506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54DA00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操作温度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3BDC30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4-450℃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7ADB07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4-450℃</w:t>
            </w:r>
          </w:p>
        </w:tc>
      </w:tr>
      <w:tr w:rsidR="009876DF" w:rsidRPr="009876DF" w14:paraId="19747E02" w14:textId="77777777" w:rsidTr="00294C16">
        <w:trPr>
          <w:trHeight w:val="490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372DD8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升温速率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E66B8C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最大升温速度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120℃/min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，可拓展至≥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700℃/min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B8968D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最大升温速度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120℃/min</w:t>
            </w:r>
          </w:p>
        </w:tc>
      </w:tr>
      <w:tr w:rsidR="009876DF" w:rsidRPr="009876DF" w14:paraId="60BFB738" w14:textId="77777777" w:rsidTr="00294C16">
        <w:trPr>
          <w:trHeight w:val="411"/>
        </w:trPr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12E3F3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5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、分流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/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不分流进样口</w:t>
            </w:r>
          </w:p>
        </w:tc>
      </w:tr>
      <w:tr w:rsidR="009876DF" w:rsidRPr="009876DF" w14:paraId="2B396501" w14:textId="77777777" w:rsidTr="00294C16">
        <w:trPr>
          <w:trHeight w:val="411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E4C64C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最高使用温度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981B1E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650℃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5508A4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400℃</w:t>
            </w:r>
          </w:p>
        </w:tc>
      </w:tr>
      <w:tr w:rsidR="009876DF" w:rsidRPr="009876DF" w14:paraId="4C5C6502" w14:textId="77777777" w:rsidTr="00294C16">
        <w:trPr>
          <w:trHeight w:val="452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E4A0B8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进样口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F68605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冷进样口，进样口温度范围：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-150-650℃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，最小增加值：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1℃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8012C3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配备钝化衬管</w:t>
            </w:r>
          </w:p>
        </w:tc>
      </w:tr>
      <w:tr w:rsidR="009876DF" w:rsidRPr="009876DF" w14:paraId="22FE70DD" w14:textId="77777777" w:rsidTr="00294C16">
        <w:trPr>
          <w:trHeight w:val="411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9BD0FA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分流比设定范围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ACBE31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1-12500:1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09408E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1-12500:1</w:t>
            </w:r>
          </w:p>
        </w:tc>
      </w:tr>
      <w:tr w:rsidR="009876DF" w:rsidRPr="009876DF" w14:paraId="2B78B9EF" w14:textId="77777777" w:rsidTr="00294C16">
        <w:trPr>
          <w:trHeight w:val="411"/>
        </w:trPr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3C89A2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三、馏分收集系统</w:t>
            </w:r>
          </w:p>
        </w:tc>
      </w:tr>
      <w:tr w:rsidR="009876DF" w:rsidRPr="009876DF" w14:paraId="4A26BBB5" w14:textId="77777777" w:rsidTr="00294C16">
        <w:trPr>
          <w:trHeight w:val="405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81D480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lastRenderedPageBreak/>
              <w:t>收集组分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C201B2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6 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个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C809A4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384 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个</w:t>
            </w:r>
          </w:p>
        </w:tc>
      </w:tr>
      <w:tr w:rsidR="009876DF" w:rsidRPr="009876DF" w14:paraId="7C7D56CE" w14:textId="77777777" w:rsidTr="00294C16">
        <w:trPr>
          <w:trHeight w:val="681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FBF482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溶剂</w:t>
            </w:r>
            <w:r w:rsidRPr="009876DF"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  <w:t>/</w:t>
            </w: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冷却单元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DFEC54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支持液氮和循环水制冷，捕集阱温度：最低达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-150℃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7A28D6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溶剂可任意更换，溶剂气化温度不低于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350℃</w:t>
            </w:r>
          </w:p>
        </w:tc>
      </w:tr>
      <w:tr w:rsidR="009876DF" w:rsidRPr="009876DF" w14:paraId="6E3577FF" w14:textId="77777777" w:rsidTr="00294C16">
        <w:trPr>
          <w:trHeight w:val="405"/>
        </w:trPr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781E76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四、数据处理系统</w:t>
            </w:r>
          </w:p>
        </w:tc>
      </w:tr>
      <w:tr w:rsidR="009876DF" w:rsidRPr="009876DF" w14:paraId="516B2877" w14:textId="77777777" w:rsidTr="00294C16">
        <w:trPr>
          <w:trHeight w:val="1039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495778" w14:textId="69DA4C38" w:rsidR="009876DF" w:rsidRPr="0037521C" w:rsidRDefault="0037521C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</w:pPr>
            <w:r w:rsidRPr="0037521C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色谱仪和质谱仪控制系统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6716BC6" w14:textId="7F400411" w:rsidR="0037521C" w:rsidRPr="0037521C" w:rsidRDefault="0037521C" w:rsidP="0037521C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 w:hint="eastAsia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1</w:t>
            </w:r>
            <w:r w:rsidRPr="0037521C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、可手动</w:t>
            </w:r>
            <w:r w:rsidRPr="0037521C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/</w:t>
            </w:r>
            <w:r w:rsidRPr="0037521C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自动调谐，定量分析及谱库检索功能</w:t>
            </w:r>
          </w:p>
          <w:p w14:paraId="5840716E" w14:textId="77777777" w:rsidR="0037521C" w:rsidRPr="0037521C" w:rsidRDefault="0037521C" w:rsidP="0037521C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 w:hint="eastAsia"/>
                <w:color w:val="000000"/>
                <w:sz w:val="24"/>
              </w:rPr>
            </w:pPr>
            <w:r w:rsidRPr="0037521C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2</w:t>
            </w:r>
            <w:r w:rsidRPr="0037521C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、智能预警功能，可以监控仪器状态</w:t>
            </w:r>
          </w:p>
          <w:p w14:paraId="6A198F50" w14:textId="3B4C7562" w:rsidR="009876DF" w:rsidRPr="0037521C" w:rsidRDefault="0037521C" w:rsidP="0037521C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37521C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3</w:t>
            </w:r>
            <w:r w:rsidRPr="0037521C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、软件自定进样完成锁定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19BEE9D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1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、化合物锁定准确度</w:t>
            </w: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0.001</w:t>
            </w:r>
          </w:p>
          <w:p w14:paraId="061DF539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2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、任意一种目标化合物即可</w:t>
            </w:r>
          </w:p>
          <w:p w14:paraId="46554CAB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/>
                <w:color w:val="000000"/>
                <w:sz w:val="24"/>
              </w:rPr>
              <w:t>3</w:t>
            </w: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、软件自定进样完成锁定</w:t>
            </w:r>
          </w:p>
        </w:tc>
      </w:tr>
      <w:tr w:rsidR="009876DF" w:rsidRPr="009876DF" w14:paraId="5D8702AD" w14:textId="77777777" w:rsidTr="00294C16">
        <w:trPr>
          <w:trHeight w:val="1039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6FC5019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</w:rPr>
              <w:t>馏分收集控制系统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999404" w14:textId="140C7505" w:rsidR="009876DF" w:rsidRPr="0037521C" w:rsidRDefault="0037521C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37521C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馏分制备器在气相色谱分离后对各组分进行自动收集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6D03B7C" w14:textId="77777777" w:rsidR="009876DF" w:rsidRPr="009876DF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9876DF"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控制馏分收集和切换</w:t>
            </w:r>
          </w:p>
        </w:tc>
      </w:tr>
      <w:tr w:rsidR="009876DF" w:rsidRPr="009876DF" w14:paraId="6B12DC32" w14:textId="77777777" w:rsidTr="00294C16">
        <w:trPr>
          <w:trHeight w:val="1039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F7E7FA4" w14:textId="77777777" w:rsidR="009876DF" w:rsidRPr="00D8013B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D8013B">
              <w:rPr>
                <w:rFonts w:ascii="Times New Roman" w:eastAsia="仿宋" w:hAnsi="Times New Roman" w:cs="Times New Roman" w:hint="eastAsia"/>
                <w:b/>
                <w:sz w:val="24"/>
              </w:rPr>
              <w:t>色谱绘图编辑软件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2F3736B" w14:textId="77777777" w:rsidR="009876DF" w:rsidRPr="00D8013B" w:rsidRDefault="009876DF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8013B">
              <w:rPr>
                <w:rFonts w:ascii="Times New Roman" w:eastAsia="仿宋" w:hAnsi="Times New Roman" w:cs="Times New Roman" w:hint="eastAsia"/>
                <w:sz w:val="24"/>
              </w:rPr>
              <w:t>最新</w:t>
            </w:r>
            <w:r w:rsidRPr="00D8013B">
              <w:rPr>
                <w:rFonts w:ascii="Times New Roman" w:eastAsia="仿宋" w:hAnsi="Times New Roman" w:cs="Times New Roman"/>
                <w:sz w:val="24"/>
              </w:rPr>
              <w:t>NIST</w:t>
            </w:r>
            <w:r w:rsidRPr="00D8013B">
              <w:rPr>
                <w:rFonts w:ascii="Times New Roman" w:eastAsia="仿宋" w:hAnsi="Times New Roman" w:cs="Times New Roman"/>
                <w:sz w:val="24"/>
              </w:rPr>
              <w:t>库套装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09FBC97" w14:textId="77777777" w:rsidR="009876DF" w:rsidRPr="00D8013B" w:rsidRDefault="000457C9" w:rsidP="009876DF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8013B">
              <w:rPr>
                <w:rFonts w:ascii="Times New Roman" w:eastAsia="仿宋" w:hAnsi="Times New Roman" w:cs="Times New Roman" w:hint="eastAsia"/>
                <w:sz w:val="24"/>
              </w:rPr>
              <w:t>最新</w:t>
            </w:r>
            <w:r w:rsidRPr="00D8013B">
              <w:rPr>
                <w:rFonts w:ascii="Times New Roman" w:eastAsia="仿宋" w:hAnsi="Times New Roman" w:cs="Times New Roman"/>
                <w:sz w:val="24"/>
              </w:rPr>
              <w:t>NIST</w:t>
            </w:r>
            <w:r w:rsidRPr="00D8013B">
              <w:rPr>
                <w:rFonts w:ascii="Times New Roman" w:eastAsia="仿宋" w:hAnsi="Times New Roman" w:cs="Times New Roman"/>
                <w:sz w:val="24"/>
              </w:rPr>
              <w:t>库套装</w:t>
            </w:r>
          </w:p>
        </w:tc>
      </w:tr>
    </w:tbl>
    <w:p w14:paraId="4D966738" w14:textId="77777777" w:rsidR="000C2460" w:rsidRDefault="000C2460" w:rsidP="000C2460">
      <w:pPr>
        <w:snapToGrid w:val="0"/>
        <w:spacing w:line="540" w:lineRule="exact"/>
        <w:ind w:firstLineChars="200" w:firstLine="643"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lang w:val="en-GB"/>
        </w:rPr>
      </w:pPr>
    </w:p>
    <w:p w14:paraId="1E02AF54" w14:textId="77777777" w:rsidR="00294C16" w:rsidRPr="000C2460" w:rsidRDefault="00294C16" w:rsidP="000C2460">
      <w:pPr>
        <w:snapToGrid w:val="0"/>
        <w:spacing w:line="540" w:lineRule="exact"/>
        <w:ind w:firstLineChars="200" w:firstLine="643"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lang w:val="en-GB"/>
        </w:rPr>
      </w:pPr>
    </w:p>
    <w:p w14:paraId="680CF724" w14:textId="77777777" w:rsidR="006F7AFC" w:rsidRDefault="006B3B44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四、条件准备情况</w:t>
      </w:r>
    </w:p>
    <w:p w14:paraId="547200CF" w14:textId="77777777" w:rsidR="006F7AFC" w:rsidRDefault="006B3B44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实验室具备电（220V单相电源）、通风（排气系统）、实验平台等安装条件。</w:t>
      </w:r>
    </w:p>
    <w:p w14:paraId="3495F225" w14:textId="77777777" w:rsidR="006F7AFC" w:rsidRDefault="006B3B44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五、可能存在的安全性问题</w:t>
      </w:r>
    </w:p>
    <w:p w14:paraId="77775353" w14:textId="77777777" w:rsidR="006F7AFC" w:rsidRDefault="006B3B44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该设备使用过程无放射物产生，可能产生少量废气</w:t>
      </w:r>
      <w:r w:rsidR="0059767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、废液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可由通风净化系统</w:t>
      </w:r>
      <w:r w:rsidR="0059767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及废液收集系统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处理，不会产生安全性问题。</w:t>
      </w:r>
    </w:p>
    <w:sectPr w:rsidR="006F7AFC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7E3A" w14:textId="77777777" w:rsidR="00BD2FE0" w:rsidRDefault="00BD2FE0">
      <w:r>
        <w:separator/>
      </w:r>
    </w:p>
  </w:endnote>
  <w:endnote w:type="continuationSeparator" w:id="0">
    <w:p w14:paraId="4AC583F8" w14:textId="77777777" w:rsidR="00BD2FE0" w:rsidRDefault="00BD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EC94" w14:textId="77777777" w:rsidR="006F7AFC" w:rsidRDefault="006B3B4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814941B" wp14:editId="5882B08A">
              <wp:simplePos x="0" y="0"/>
              <wp:positionH relativeFrom="page">
                <wp:posOffset>3839210</wp:posOffset>
              </wp:positionH>
              <wp:positionV relativeFrom="page">
                <wp:posOffset>10211435</wp:posOffset>
              </wp:positionV>
              <wp:extent cx="187325" cy="774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BB8B15" w14:textId="77777777" w:rsidR="006F7AFC" w:rsidRDefault="006B3B44">
                          <w:pPr>
                            <w:pStyle w:val="Headerorfooter2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-1 -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26" type="#_x0000_t202" style="position:absolute;left:0;text-align:left;margin-left:302.3pt;margin-top:804.05pt;width:14.75pt;height:6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" filled="f" stroked="f">
              <v:textbox style="mso-fit-shape-to-text:t" inset="0,0,0,0">
                <w:txbxContent>
                  <w:p w:rsidR="006F7AFC" w:rsidRDefault="006B3B44">
                    <w:pPr>
                      <w:pStyle w:val="Headerorfooter2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-1 -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1237A" w14:textId="77777777" w:rsidR="00BD2FE0" w:rsidRDefault="00BD2FE0">
      <w:r>
        <w:separator/>
      </w:r>
    </w:p>
  </w:footnote>
  <w:footnote w:type="continuationSeparator" w:id="0">
    <w:p w14:paraId="38C824C5" w14:textId="77777777" w:rsidR="00BD2FE0" w:rsidRDefault="00BD2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4A8F"/>
    <w:rsid w:val="0004008B"/>
    <w:rsid w:val="000457C9"/>
    <w:rsid w:val="00052A08"/>
    <w:rsid w:val="000728D9"/>
    <w:rsid w:val="000827F3"/>
    <w:rsid w:val="000C2460"/>
    <w:rsid w:val="00154311"/>
    <w:rsid w:val="001636D8"/>
    <w:rsid w:val="001F68B7"/>
    <w:rsid w:val="00235F95"/>
    <w:rsid w:val="00294C16"/>
    <w:rsid w:val="002B1651"/>
    <w:rsid w:val="00354976"/>
    <w:rsid w:val="0037521C"/>
    <w:rsid w:val="00381E33"/>
    <w:rsid w:val="004E5283"/>
    <w:rsid w:val="0059767E"/>
    <w:rsid w:val="006B3B44"/>
    <w:rsid w:val="006F7AFC"/>
    <w:rsid w:val="007303AD"/>
    <w:rsid w:val="009876DF"/>
    <w:rsid w:val="00AE1BDC"/>
    <w:rsid w:val="00AE3121"/>
    <w:rsid w:val="00AE69F1"/>
    <w:rsid w:val="00AF2930"/>
    <w:rsid w:val="00B459C4"/>
    <w:rsid w:val="00BD2FE0"/>
    <w:rsid w:val="00C86860"/>
    <w:rsid w:val="00D8013B"/>
    <w:rsid w:val="00E22B64"/>
    <w:rsid w:val="00EB7E60"/>
    <w:rsid w:val="00F60001"/>
    <w:rsid w:val="01EA0E83"/>
    <w:rsid w:val="0301396B"/>
    <w:rsid w:val="05154E61"/>
    <w:rsid w:val="0ACD3951"/>
    <w:rsid w:val="0C2107A9"/>
    <w:rsid w:val="0CF462EF"/>
    <w:rsid w:val="108F4BD1"/>
    <w:rsid w:val="11C95F9C"/>
    <w:rsid w:val="1209283C"/>
    <w:rsid w:val="130628D8"/>
    <w:rsid w:val="14C94C7D"/>
    <w:rsid w:val="1E592455"/>
    <w:rsid w:val="1FBB33A3"/>
    <w:rsid w:val="23201794"/>
    <w:rsid w:val="240E07A9"/>
    <w:rsid w:val="251D242F"/>
    <w:rsid w:val="257B5FDE"/>
    <w:rsid w:val="25C44658"/>
    <w:rsid w:val="29D46E34"/>
    <w:rsid w:val="2B2160A9"/>
    <w:rsid w:val="2B724B56"/>
    <w:rsid w:val="2C5509C3"/>
    <w:rsid w:val="2E6863BB"/>
    <w:rsid w:val="2E7F7CB6"/>
    <w:rsid w:val="304F04EB"/>
    <w:rsid w:val="30C84A8F"/>
    <w:rsid w:val="33F9446E"/>
    <w:rsid w:val="3522139B"/>
    <w:rsid w:val="35BA60CE"/>
    <w:rsid w:val="39C33C94"/>
    <w:rsid w:val="3D0535B4"/>
    <w:rsid w:val="40C33A32"/>
    <w:rsid w:val="47947ED7"/>
    <w:rsid w:val="483E65AE"/>
    <w:rsid w:val="4BFE6267"/>
    <w:rsid w:val="4C2A6435"/>
    <w:rsid w:val="536D782E"/>
    <w:rsid w:val="55591C47"/>
    <w:rsid w:val="564927D4"/>
    <w:rsid w:val="57D85FAF"/>
    <w:rsid w:val="5F131BD1"/>
    <w:rsid w:val="709541F4"/>
    <w:rsid w:val="70FF1E55"/>
    <w:rsid w:val="74543DB5"/>
    <w:rsid w:val="77B27D81"/>
    <w:rsid w:val="7BD5403F"/>
    <w:rsid w:val="7BFF2E69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7CF727"/>
  <w15:docId w15:val="{9470B5DF-CE45-47FA-921C-26F1B4A2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Heading41">
    <w:name w:val="Heading #4|1"/>
    <w:basedOn w:val="a"/>
    <w:qFormat/>
    <w:pPr>
      <w:spacing w:after="70" w:line="414" w:lineRule="exact"/>
      <w:outlineLvl w:val="3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736" w:lineRule="exact"/>
      <w:ind w:left="340" w:hanging="34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5">
    <w:name w:val="header"/>
    <w:basedOn w:val="a"/>
    <w:link w:val="a6"/>
    <w:rsid w:val="000C2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C24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C2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C24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226</Words>
  <Characters>1292</Characters>
  <Application>Microsoft Office Word</Application>
  <DocSecurity>0</DocSecurity>
  <Lines>10</Lines>
  <Paragraphs>3</Paragraphs>
  <ScaleCrop>false</ScaleCrop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星辰</cp:lastModifiedBy>
  <cp:revision>8</cp:revision>
  <dcterms:created xsi:type="dcterms:W3CDTF">2023-03-24T13:07:00Z</dcterms:created>
  <dcterms:modified xsi:type="dcterms:W3CDTF">2023-03-31T11:37:00Z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62737996527D4D749885DEC555C236FB</vt:lpwstr>
  </property>
</Properties>
</file>