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清源创新实验室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eastAsia="zh-CN"/>
        </w:rPr>
        <w:t>微量形态硫及快速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DHAPONA一体化分析仪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进口产品需求概况</w:t>
      </w:r>
    </w:p>
    <w:p>
      <w:pPr>
        <w:widowControl/>
        <w:snapToGrid w:val="0"/>
        <w:spacing w:line="276" w:lineRule="auto"/>
        <w:jc w:val="left"/>
        <w:rPr>
          <w:rFonts w:ascii="Arial" w:hAnsi="Arial" w:eastAsia="宋体" w:cs="Arial"/>
          <w:kern w:val="0"/>
          <w:sz w:val="24"/>
        </w:rPr>
      </w:pPr>
      <w:r>
        <w:rPr>
          <w:rFonts w:ascii="Arial" w:hAnsi="Arial" w:eastAsia="宋体" w:cs="Arial"/>
          <w:kern w:val="0"/>
          <w:sz w:val="24"/>
        </w:rPr>
        <w:t>一、项目概况（采购标的）</w:t>
      </w:r>
    </w:p>
    <w:p>
      <w:pPr>
        <w:pStyle w:val="4"/>
        <w:ind w:firstLine="0" w:firstLineChars="0"/>
        <w:rPr>
          <w:rFonts w:hint="eastAsia" w:asciiTheme="minorEastAsia" w:hAnsiTheme="minorEastAsia" w:eastAsiaTheme="minorEastAsia"/>
          <w:color w:val="000000"/>
          <w:kern w:val="0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本项目为微量形态硫及快速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DHAPONA一体化分析仪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color w:val="000000"/>
          <w:kern w:val="0"/>
          <w:szCs w:val="24"/>
        </w:rPr>
        <w:t>用于检测分析天然气、液化气及石脑油中微量形态硫以及石脑油、汽油中详细烃（DHA）组成及族组成（PONA）。</w:t>
      </w:r>
      <w:r>
        <w:rPr>
          <w:rFonts w:hint="eastAsia" w:asciiTheme="minorEastAsia" w:hAnsiTheme="minorEastAsia"/>
          <w:color w:val="000000"/>
          <w:kern w:val="0"/>
          <w:szCs w:val="24"/>
          <w:lang w:eastAsia="zh-CN"/>
        </w:rPr>
        <w:t>要求仪器根据</w:t>
      </w:r>
      <w:r>
        <w:rPr>
          <w:rFonts w:hint="eastAsia" w:asciiTheme="minorEastAsia" w:hAnsiTheme="minorEastAsia" w:eastAsiaTheme="minorEastAsia"/>
          <w:color w:val="000000"/>
          <w:kern w:val="0"/>
          <w:szCs w:val="24"/>
        </w:rPr>
        <w:t>微量硫化物分析时间依样品不同而不同，DHA/PONA</w:t>
      </w:r>
      <w:r>
        <w:rPr>
          <w:rFonts w:hint="eastAsia"/>
        </w:rPr>
        <w:t>分析时间为30分钟左右。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以主流进口气相色谱仪为平台，配备脉冲火焰光度检测器（PFPD），采用多阀多柱系统，通过定制设计，满足气态及液态两种相态样品的进样分析，用于分析检测天然气、液化气及石脑油、汽油中形态硫。各种形态硫的检测结果加和即为其总硫含量。</w:t>
      </w:r>
      <w:r>
        <w:rPr>
          <w:rFonts w:hint="eastAsia"/>
        </w:rPr>
        <w:t>该设备的购置，有利于促进清源创新实验室在专用化学品等领域的研发工作，提升科研分析方面的水平，提高研究生的综合知识和创新能力。</w:t>
      </w:r>
    </w:p>
    <w:p>
      <w:pPr>
        <w:adjustRightInd w:val="0"/>
        <w:spacing w:line="34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二、技术和服务要求</w:t>
      </w:r>
    </w:p>
    <w:p>
      <w:pPr>
        <w:adjustRightInd w:val="0"/>
        <w:snapToGrid w:val="0"/>
        <w:spacing w:line="360" w:lineRule="auto"/>
        <w:outlineLvl w:val="4"/>
        <w:rPr>
          <w:rFonts w:ascii="宋体"/>
          <w:sz w:val="24"/>
          <w:szCs w:val="20"/>
        </w:rPr>
      </w:pPr>
      <w:r>
        <w:rPr>
          <w:rFonts w:hint="eastAsia" w:ascii="宋体" w:hAnsi="宋体" w:eastAsia="宋体" w:cs="宋体"/>
          <w:b/>
          <w:sz w:val="24"/>
        </w:rPr>
        <w:t>（一）配置要求</w:t>
      </w:r>
      <w:r>
        <w:rPr>
          <w:rFonts w:hint="eastAsia" w:ascii="宋体" w:hAnsi="宋体" w:eastAsia="宋体" w:cs="宋体"/>
          <w:b/>
          <w:sz w:val="24"/>
          <w:lang w:eastAsia="zh-CN"/>
        </w:rPr>
        <w:t>：</w:t>
      </w:r>
      <w:r>
        <w:rPr>
          <w:rFonts w:hint="eastAsia" w:ascii="宋体"/>
          <w:sz w:val="24"/>
          <w:szCs w:val="20"/>
        </w:rPr>
        <w:t>包括但不限于以下配置</w:t>
      </w:r>
    </w:p>
    <w:p>
      <w:pPr>
        <w:adjustRightInd w:val="0"/>
        <w:snapToGrid w:val="0"/>
        <w:spacing w:line="360" w:lineRule="auto"/>
        <w:ind w:firstLine="240" w:firstLineChars="100"/>
        <w:rPr>
          <w:rFonts w:asciiTheme="minorEastAsia" w:hAnsiTheme="minorEastAsia" w:eastAsiaTheme="minorEastAsia"/>
          <w:bCs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（1）气相色谱仪主机+分流/不分流进样口（惰性）</w:t>
      </w:r>
    </w:p>
    <w:p>
      <w:pPr>
        <w:adjustRightInd w:val="0"/>
        <w:snapToGrid w:val="0"/>
        <w:spacing w:line="360" w:lineRule="auto"/>
        <w:ind w:firstLine="240" w:firstLineChars="100"/>
        <w:rPr>
          <w:rFonts w:asciiTheme="minorEastAsia" w:hAnsiTheme="minorEastAsia" w:eastAsiaTheme="minorEastAsia"/>
          <w:bCs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（2）PFPD检测器</w:t>
      </w:r>
      <w:bookmarkStart w:id="1" w:name="_GoBack"/>
      <w:bookmarkEnd w:id="1"/>
    </w:p>
    <w:p>
      <w:pPr>
        <w:adjustRightInd w:val="0"/>
        <w:snapToGrid w:val="0"/>
        <w:spacing w:line="360" w:lineRule="auto"/>
        <w:ind w:firstLine="240" w:firstLineChars="100"/>
        <w:rPr>
          <w:rFonts w:asciiTheme="minorEastAsia" w:hAnsiTheme="minorEastAsia" w:eastAsiaTheme="minorEastAsia"/>
          <w:bCs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（3）FID检测器</w:t>
      </w:r>
    </w:p>
    <w:p>
      <w:pPr>
        <w:adjustRightInd w:val="0"/>
        <w:snapToGrid w:val="0"/>
        <w:spacing w:line="360" w:lineRule="auto"/>
        <w:ind w:firstLine="240" w:firstLineChars="100"/>
        <w:rPr>
          <w:rFonts w:asciiTheme="minorEastAsia" w:hAnsiTheme="minorEastAsia" w:eastAsiaTheme="minorEastAsia"/>
          <w:bCs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（4）液体自动进样器</w:t>
      </w:r>
    </w:p>
    <w:p>
      <w:pPr>
        <w:adjustRightInd w:val="0"/>
        <w:snapToGrid w:val="0"/>
        <w:spacing w:line="360" w:lineRule="auto"/>
        <w:ind w:firstLine="240" w:firstLineChars="100"/>
        <w:rPr>
          <w:rFonts w:asciiTheme="minorEastAsia" w:hAnsiTheme="minorEastAsia" w:eastAsiaTheme="minorEastAsia"/>
          <w:bCs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（5）一个六通阀</w:t>
      </w:r>
    </w:p>
    <w:p>
      <w:pPr>
        <w:adjustRightInd w:val="0"/>
        <w:snapToGrid w:val="0"/>
        <w:spacing w:line="360" w:lineRule="auto"/>
        <w:ind w:firstLine="240" w:firstLineChars="100"/>
        <w:rPr>
          <w:rFonts w:asciiTheme="minorEastAsia" w:hAnsiTheme="minorEastAsia" w:eastAsiaTheme="minorEastAsia"/>
          <w:bCs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（6）两根优选的毛细管色谱柱（微量形态硫分析和详细烃DHA分析）</w:t>
      </w:r>
    </w:p>
    <w:p>
      <w:pPr>
        <w:adjustRightInd w:val="0"/>
        <w:spacing w:line="340" w:lineRule="exac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（二） 具体技术要求 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提供原厂代码详细烃分析进口软件包（*非贴牌），专用软件具有开放功能，用户可以增加并编辑组分信息。软件需具备以下功能：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（1）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ab/>
      </w:r>
      <w:r>
        <w:rPr>
          <w:rFonts w:hint="eastAsia" w:ascii="宋体"/>
          <w:sz w:val="24"/>
          <w:szCs w:val="20"/>
        </w:rPr>
        <w:t>依据相应标准方法方法完成详细烃DHA及族组成PONA的分析；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</w:t>
      </w:r>
      <w:r>
        <w:rPr>
          <w:rFonts w:hint="eastAsia" w:asciiTheme="minorEastAsia" w:hAnsiTheme="minorEastAsia"/>
          <w:bCs/>
          <w:sz w:val="24"/>
          <w:szCs w:val="20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>）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ab/>
      </w:r>
      <w:r>
        <w:rPr>
          <w:rFonts w:hint="eastAsia" w:ascii="宋体"/>
          <w:sz w:val="24"/>
          <w:szCs w:val="20"/>
        </w:rPr>
        <w:t>通过Kovats指数优化校验及色谱峰鉴别；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</w:t>
      </w:r>
      <w:r>
        <w:rPr>
          <w:rFonts w:hint="eastAsia" w:asciiTheme="minorEastAsia" w:hAnsiTheme="minorEastAsia"/>
          <w:bCs/>
          <w:sz w:val="24"/>
          <w:szCs w:val="2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>）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ab/>
      </w:r>
      <w:r>
        <w:rPr>
          <w:rFonts w:hint="eastAsia" w:ascii="宋体"/>
          <w:sz w:val="24"/>
          <w:szCs w:val="20"/>
        </w:rPr>
        <w:t>全自动、高分离度的色谱分析方法、软件包含实际样品和参考样品的实时对比功能；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</w:t>
      </w:r>
      <w:r>
        <w:rPr>
          <w:rFonts w:hint="eastAsia" w:asciiTheme="minorEastAsia" w:hAnsiTheme="minorEastAsia"/>
          <w:bCs/>
          <w:sz w:val="24"/>
          <w:szCs w:val="2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>）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ab/>
      </w:r>
      <w:r>
        <w:rPr>
          <w:rFonts w:hint="eastAsia" w:ascii="宋体"/>
          <w:sz w:val="24"/>
          <w:szCs w:val="20"/>
        </w:rPr>
        <w:t>程序预设定有利于提高峰鉴别的可靠性；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</w:t>
      </w:r>
      <w:r>
        <w:rPr>
          <w:rFonts w:hint="eastAsia" w:asciiTheme="minorEastAsia" w:hAnsiTheme="minorEastAsia"/>
          <w:bCs/>
          <w:sz w:val="24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>）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ab/>
      </w:r>
      <w:r>
        <w:rPr>
          <w:rFonts w:hint="eastAsia" w:ascii="宋体"/>
          <w:sz w:val="24"/>
          <w:szCs w:val="20"/>
        </w:rPr>
        <w:t>简单点击就可以查看和调整组分的鉴别</w:t>
      </w:r>
      <w:bookmarkStart w:id="0" w:name="OLE_LINK2"/>
      <w:r>
        <w:rPr>
          <w:rFonts w:hint="eastAsia" w:ascii="宋体"/>
          <w:sz w:val="24"/>
          <w:szCs w:val="20"/>
        </w:rPr>
        <w:t>、具备组分定性拖拽功能、自动对齐功能</w:t>
      </w:r>
      <w:bookmarkEnd w:id="0"/>
      <w:r>
        <w:rPr>
          <w:rFonts w:hint="eastAsia" w:ascii="宋体"/>
          <w:sz w:val="24"/>
          <w:szCs w:val="20"/>
        </w:rPr>
        <w:t>；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报告含色谱图，且包括PIONA、马达法辛烷值、研究法辛烷值、溴值、雷德蒸气压、芳潜含量（可定制）、总热量和净热值、C/H比，密度，平均分子量和实沸点报表的多项报告选择。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通过测试校正样和质控样，可以校验仪器是否处于正常工作状态（即硬件、软件和方法是否正常，可以开始测定未知实际样品）。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供货方提供该分析仪标准样品，包括硫化物分析用标准气体、DHA/PONA分析校正样和参考样。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</w:t>
      </w:r>
      <w:r>
        <w:rPr>
          <w:rFonts w:hint="eastAsia" w:asciiTheme="minorEastAsia" w:hAnsiTheme="minorEastAsia"/>
          <w:bCs/>
          <w:sz w:val="24"/>
          <w:szCs w:val="2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>）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ab/>
      </w:r>
      <w:r>
        <w:rPr>
          <w:rFonts w:hint="eastAsia" w:ascii="宋体"/>
          <w:sz w:val="24"/>
          <w:szCs w:val="20"/>
        </w:rPr>
        <w:t>工作站电脑配置工作站配置不低于：主流品牌，Core i5-7500以上/16G(DDR4 2666)/1TB 、至少21"液晶显示器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</w:t>
      </w:r>
      <w:r>
        <w:rPr>
          <w:rFonts w:hint="eastAsia" w:asciiTheme="minorEastAsia" w:hAnsiTheme="minorEastAsia"/>
          <w:bCs/>
          <w:sz w:val="24"/>
          <w:szCs w:val="20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>）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ab/>
      </w:r>
      <w:r>
        <w:rPr>
          <w:rFonts w:hint="eastAsia" w:ascii="宋体"/>
          <w:sz w:val="24"/>
          <w:szCs w:val="20"/>
        </w:rPr>
        <w:t>仪器配置符合ASTM D5504、D6228、D5623、D5134等方法要求，色谱仪主机至少满足以下指标；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</w:t>
      </w:r>
      <w:r>
        <w:rPr>
          <w:rFonts w:hint="eastAsia" w:asciiTheme="minorEastAsia" w:hAnsiTheme="minorEastAsia"/>
          <w:bCs/>
          <w:sz w:val="24"/>
          <w:szCs w:val="20"/>
          <w:lang w:val="en-US" w:eastAsia="zh-CN"/>
        </w:rPr>
        <w:t>8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>）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ab/>
      </w:r>
      <w:r>
        <w:rPr>
          <w:rFonts w:hint="eastAsia" w:ascii="宋体"/>
          <w:sz w:val="24"/>
          <w:szCs w:val="20"/>
        </w:rPr>
        <w:t>色谱仪主机一般参数：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8.1：</w:t>
      </w:r>
      <w:r>
        <w:rPr>
          <w:rFonts w:hint="eastAsia" w:ascii="宋体"/>
          <w:sz w:val="24"/>
          <w:szCs w:val="20"/>
        </w:rPr>
        <w:t>7英寸电容式触摸屏界面可实时访问仪器状态、配置和流路信息。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可用浏览器界面远程控制仪器，浏览器界面可提供智能移动访问功能使用的界面，可以查看设置信息、解决问题、自动检查泄漏（无需人工）、反吹色谱柱、暂停和启动样品运行，并管理方法开发。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（</w:t>
      </w:r>
      <w:r>
        <w:rPr>
          <w:rFonts w:hint="eastAsia" w:ascii="宋体"/>
          <w:sz w:val="24"/>
          <w:szCs w:val="20"/>
          <w:lang w:val="en-US" w:eastAsia="zh-CN"/>
        </w:rPr>
        <w:t>9</w:t>
      </w:r>
      <w:r>
        <w:rPr>
          <w:rFonts w:hint="eastAsia" w:ascii="宋体"/>
          <w:sz w:val="24"/>
          <w:szCs w:val="20"/>
        </w:rPr>
        <w:t>）柱温箱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9.1：</w:t>
      </w:r>
      <w:r>
        <w:rPr>
          <w:rFonts w:hint="eastAsia" w:ascii="宋体"/>
          <w:sz w:val="24"/>
          <w:szCs w:val="20"/>
        </w:rPr>
        <w:t>温度范围：室温以上 4–450 °C；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9.2：</w:t>
      </w:r>
      <w:r>
        <w:rPr>
          <w:rFonts w:hint="eastAsia" w:ascii="宋体"/>
          <w:sz w:val="24"/>
          <w:szCs w:val="20"/>
        </w:rPr>
        <w:t>温度精度：0.1℃；程序设定升温速率0.1℃/min;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 xml:space="preserve"> 最大升温速度：120℃/分钟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9.3：</w:t>
      </w:r>
      <w:r>
        <w:rPr>
          <w:rFonts w:hint="eastAsia" w:ascii="宋体"/>
          <w:sz w:val="24"/>
          <w:szCs w:val="20"/>
        </w:rPr>
        <w:t>温度稳定性：当环境温度变化1℃时，优于0.01℃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9.4：</w:t>
      </w:r>
      <w:r>
        <w:rPr>
          <w:rFonts w:hint="eastAsia" w:ascii="宋体"/>
          <w:sz w:val="24"/>
          <w:szCs w:val="20"/>
        </w:rPr>
        <w:t>程序升温：20阶21平台；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9.5：</w:t>
      </w:r>
      <w:r>
        <w:rPr>
          <w:rFonts w:hint="eastAsia" w:ascii="宋体"/>
          <w:sz w:val="24"/>
          <w:szCs w:val="20"/>
        </w:rPr>
        <w:t>降温：柱温箱在 4.0 分钟内（22 °C 室温）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从 450 °C 冷却到 50 °C（带柱温箱插件附件为 3.5 分钟）；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（</w:t>
      </w:r>
      <w:r>
        <w:rPr>
          <w:rFonts w:hint="eastAsia" w:ascii="宋体"/>
          <w:sz w:val="24"/>
          <w:szCs w:val="20"/>
          <w:lang w:val="en-US" w:eastAsia="zh-CN"/>
        </w:rPr>
        <w:t>10</w:t>
      </w:r>
      <w:r>
        <w:rPr>
          <w:rFonts w:hint="eastAsia" w:ascii="宋体"/>
          <w:sz w:val="24"/>
          <w:szCs w:val="20"/>
        </w:rPr>
        <w:t>）分流/不分流进样口(EPC)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10.1：</w:t>
      </w:r>
      <w:r>
        <w:rPr>
          <w:rFonts w:hint="eastAsia" w:ascii="宋体"/>
          <w:sz w:val="24"/>
          <w:szCs w:val="20"/>
        </w:rPr>
        <w:t>压力精度：±0.001 psi；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10.2：</w:t>
      </w:r>
      <w:r>
        <w:rPr>
          <w:rFonts w:hint="eastAsia" w:ascii="宋体"/>
          <w:sz w:val="24"/>
          <w:szCs w:val="20"/>
        </w:rPr>
        <w:t>流量精度：0.01ml/min；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10.3：</w:t>
      </w:r>
      <w:r>
        <w:rPr>
          <w:rFonts w:hint="eastAsia" w:ascii="宋体"/>
          <w:sz w:val="24"/>
          <w:szCs w:val="20"/>
        </w:rPr>
        <w:t>最高使用温度：400℃；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10.4：</w:t>
      </w:r>
      <w:r>
        <w:rPr>
          <w:rFonts w:hint="eastAsia" w:ascii="宋体"/>
          <w:sz w:val="24"/>
          <w:szCs w:val="20"/>
        </w:rPr>
        <w:t>进样口分流比范围：1-12500:1；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（</w:t>
      </w:r>
      <w:r>
        <w:rPr>
          <w:rFonts w:hint="eastAsia" w:ascii="宋体"/>
          <w:sz w:val="24"/>
          <w:szCs w:val="20"/>
          <w:lang w:val="en-US" w:eastAsia="zh-CN"/>
        </w:rPr>
        <w:t>11</w:t>
      </w:r>
      <w:r>
        <w:rPr>
          <w:rFonts w:hint="eastAsia" w:ascii="宋体"/>
          <w:sz w:val="24"/>
          <w:szCs w:val="20"/>
        </w:rPr>
        <w:t>）配火焰离子检测器（FID）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11.1：</w:t>
      </w:r>
      <w:r>
        <w:rPr>
          <w:rFonts w:hint="eastAsia" w:ascii="宋体"/>
          <w:sz w:val="24"/>
          <w:szCs w:val="20"/>
        </w:rPr>
        <w:t>最高使用温度：450℃；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11.2：</w:t>
      </w:r>
      <w:r>
        <w:rPr>
          <w:rFonts w:hint="eastAsia" w:ascii="宋体"/>
          <w:sz w:val="24"/>
          <w:szCs w:val="20"/>
        </w:rPr>
        <w:t>最低检测限：&lt;1.2pg C/s（正十三烷）；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11.3：</w:t>
      </w:r>
      <w:r>
        <w:rPr>
          <w:rFonts w:hint="eastAsia" w:ascii="宋体"/>
          <w:sz w:val="24"/>
          <w:szCs w:val="20"/>
        </w:rPr>
        <w:t>线性范围：&gt;107(±10 %)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11.4：</w:t>
      </w:r>
      <w:r>
        <w:rPr>
          <w:rFonts w:hint="eastAsia" w:ascii="宋体"/>
          <w:sz w:val="24"/>
          <w:szCs w:val="20"/>
        </w:rPr>
        <w:t>最高 1000 Hz 的数据采集速率适合半峰宽仅5 ms的峰；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11.5：</w:t>
      </w:r>
      <w:r>
        <w:rPr>
          <w:rFonts w:hint="eastAsia" w:ascii="宋体"/>
          <w:sz w:val="24"/>
          <w:szCs w:val="20"/>
        </w:rPr>
        <w:t>用于三种气体的标准电子气路控制：空气：0–800 mL/min &amp; 氢气：0–100 mL/min &amp;尾吹气（N2 或 He）：0–100 mL/min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11.6：</w:t>
      </w:r>
      <w:r>
        <w:rPr>
          <w:rFonts w:hint="eastAsia" w:ascii="宋体"/>
          <w:sz w:val="24"/>
          <w:szCs w:val="20"/>
        </w:rPr>
        <w:t>具有熄火检测和自动重新点火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（</w:t>
      </w:r>
      <w:r>
        <w:rPr>
          <w:rFonts w:hint="eastAsia" w:ascii="宋体"/>
          <w:sz w:val="24"/>
          <w:szCs w:val="20"/>
          <w:lang w:val="en-US" w:eastAsia="zh-CN"/>
        </w:rPr>
        <w:t>12</w:t>
      </w:r>
      <w:r>
        <w:rPr>
          <w:rFonts w:hint="eastAsia" w:ascii="宋体"/>
          <w:sz w:val="24"/>
          <w:szCs w:val="20"/>
        </w:rPr>
        <w:t>）配脉冲式火焰光度检测器（PFPD）：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满足硫，磷以及其他26种元素的高选择性高灵敏度检测。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（1</w:t>
      </w:r>
      <w:r>
        <w:rPr>
          <w:rFonts w:hint="eastAsia" w:asciiTheme="minorEastAsia" w:hAnsiTheme="minorEastAsia"/>
          <w:bCs/>
          <w:sz w:val="24"/>
          <w:szCs w:val="2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>）</w:t>
      </w:r>
      <w:r>
        <w:rPr>
          <w:rFonts w:hint="eastAsia" w:ascii="宋体"/>
          <w:sz w:val="24"/>
          <w:szCs w:val="20"/>
        </w:rPr>
        <w:t>检测器主体：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检测元素：能够选择性的测定28种元素。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检测通道：支持双通道检测和信号输出。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（1</w:t>
      </w:r>
      <w:r>
        <w:rPr>
          <w:rFonts w:hint="eastAsia" w:asciiTheme="minorEastAsia" w:hAnsiTheme="minorEastAsia"/>
          <w:bCs/>
          <w:sz w:val="24"/>
          <w:szCs w:val="2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>）</w:t>
      </w:r>
      <w:r>
        <w:rPr>
          <w:rFonts w:hint="eastAsia" w:ascii="宋体"/>
          <w:sz w:val="24"/>
          <w:szCs w:val="20"/>
        </w:rPr>
        <w:t>*GC兼容性：可安装使用于各大知名气谱厂商的气相色谱上：Agilent，Shimadzu，PE，等。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（1</w:t>
      </w:r>
      <w:r>
        <w:rPr>
          <w:rFonts w:hint="eastAsia" w:asciiTheme="minorEastAsia" w:hAnsiTheme="minorEastAsia"/>
          <w:bCs/>
          <w:sz w:val="24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>）</w:t>
      </w:r>
      <w:r>
        <w:rPr>
          <w:rFonts w:hint="eastAsia" w:ascii="宋体"/>
          <w:sz w:val="24"/>
          <w:szCs w:val="20"/>
        </w:rPr>
        <w:t>检测器能够提供适配各种气相色谱仪的接口。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（1</w:t>
      </w:r>
      <w:r>
        <w:rPr>
          <w:rFonts w:hint="eastAsia" w:asciiTheme="minorEastAsia" w:hAnsiTheme="minorEastAsia"/>
          <w:bCs/>
          <w:sz w:val="24"/>
          <w:szCs w:val="2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>）</w:t>
      </w:r>
      <w:r>
        <w:rPr>
          <w:rFonts w:hint="eastAsia" w:ascii="宋体"/>
          <w:sz w:val="24"/>
          <w:szCs w:val="20"/>
        </w:rPr>
        <w:t>检测器满足以下技术指标：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16.1：</w:t>
      </w:r>
      <w:r>
        <w:rPr>
          <w:rFonts w:hint="eastAsia" w:ascii="宋体"/>
          <w:sz w:val="24"/>
          <w:szCs w:val="20"/>
        </w:rPr>
        <w:t>最大检测器温度：420℃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16.2：</w:t>
      </w:r>
      <w:r>
        <w:rPr>
          <w:rFonts w:hint="eastAsia" w:ascii="宋体"/>
          <w:sz w:val="24"/>
          <w:szCs w:val="20"/>
        </w:rPr>
        <w:t>选择性：S/C&gt;106；P/C：&gt;105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16.3</w:t>
      </w:r>
      <w:r>
        <w:rPr>
          <w:rFonts w:hint="eastAsia" w:ascii="宋体"/>
          <w:sz w:val="24"/>
          <w:szCs w:val="20"/>
        </w:rPr>
        <w:t>硫检测灵敏度：&lt;1 pgS/秒；磷检测灵敏度：100 pgP/秒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16.4</w:t>
      </w:r>
      <w:r>
        <w:rPr>
          <w:rFonts w:hint="eastAsia" w:ascii="宋体"/>
          <w:sz w:val="24"/>
          <w:szCs w:val="20"/>
        </w:rPr>
        <w:t>线性动态范围：硫(二次响应)&gt;103；磷&gt;103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检测器控制器提供以下连接：2个独立的模拟输出(0-1V)，PMT光电倍增管连接，点火电缆，示波器(BNC)连接，RS-485接口，以及1个气相色谱仪启动信号输入。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Theme="minorEastAsia" w:hAnsiTheme="minorEastAsia" w:eastAsiaTheme="minorEastAsia"/>
          <w:bCs/>
          <w:sz w:val="24"/>
          <w:szCs w:val="20"/>
        </w:rPr>
        <w:t>（</w:t>
      </w:r>
      <w:r>
        <w:rPr>
          <w:rFonts w:hint="eastAsia" w:asciiTheme="minorEastAsia" w:hAnsiTheme="minorEastAsia"/>
          <w:bCs/>
          <w:sz w:val="24"/>
          <w:szCs w:val="20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bCs/>
          <w:sz w:val="24"/>
          <w:szCs w:val="20"/>
        </w:rPr>
        <w:t>）</w:t>
      </w:r>
      <w:r>
        <w:rPr>
          <w:rFonts w:hint="eastAsia" w:ascii="宋体"/>
          <w:sz w:val="24"/>
          <w:szCs w:val="20"/>
        </w:rPr>
        <w:t>控制软件：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标配PulseView实时波形控制软件，能够实时显示发射光谱。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PulseView软件，能够对检测器的每一次脉冲的波形提供实时显示，并具备将不同等级的脉冲放大以便进行精密评价的能力。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PulseView软件，能够用于安装调试、操作运行及检测器参数设定和优化。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PulseView软件，能够允许使用者调整改变以下参数：PMT 电压，点火器电流，触发水平，范围与衰减，零点，模式类型，以及所有控制门参数（启动，停止，双门复位系数等）。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PulseView软件，允许使用者将上述参数上载到检测器控制器，并存储在动态随机存储器（RAM）和非动态电子程序中。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PulseView软件，具备将所有被选定的脉冲波形记录与存储在微机的硬盘上的功能。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（</w:t>
      </w:r>
      <w:r>
        <w:rPr>
          <w:rFonts w:hint="eastAsia" w:ascii="宋体"/>
          <w:sz w:val="24"/>
          <w:szCs w:val="20"/>
          <w:lang w:val="en-US" w:eastAsia="zh-CN"/>
        </w:rPr>
        <w:t>18</w:t>
      </w:r>
      <w:r>
        <w:rPr>
          <w:rFonts w:hint="eastAsia" w:ascii="宋体"/>
          <w:sz w:val="24"/>
          <w:szCs w:val="20"/>
        </w:rPr>
        <w:t>）自动液体进样器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18.1：</w:t>
      </w:r>
      <w:r>
        <w:rPr>
          <w:rFonts w:hint="eastAsia" w:ascii="宋体"/>
          <w:sz w:val="24"/>
          <w:szCs w:val="20"/>
        </w:rPr>
        <w:t>配不小于16位自动进样器；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18.2：</w:t>
      </w:r>
      <w:r>
        <w:rPr>
          <w:rFonts w:hint="eastAsia" w:ascii="宋体"/>
          <w:sz w:val="24"/>
          <w:szCs w:val="20"/>
        </w:rPr>
        <w:t>带光电传感器，自动锁定进样位置；</w:t>
      </w:r>
    </w:p>
    <w:p>
      <w:pPr>
        <w:numPr>
          <w:ilvl w:val="4"/>
          <w:numId w:val="0"/>
        </w:numPr>
        <w:spacing w:line="360" w:lineRule="auto"/>
        <w:ind w:firstLine="480" w:firstLineChars="200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  <w:lang w:val="en-US" w:eastAsia="zh-CN"/>
        </w:rPr>
        <w:t>18.3：</w:t>
      </w:r>
      <w:r>
        <w:rPr>
          <w:rFonts w:hint="eastAsia" w:ascii="宋体"/>
          <w:sz w:val="24"/>
          <w:szCs w:val="20"/>
        </w:rPr>
        <w:t>进样前后可以分别用两种不同溶剂清洗针头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（</w:t>
      </w:r>
      <w:r>
        <w:rPr>
          <w:rFonts w:hint="eastAsia" w:ascii="宋体"/>
          <w:sz w:val="24"/>
          <w:szCs w:val="20"/>
          <w:lang w:val="en-US" w:eastAsia="zh-CN"/>
        </w:rPr>
        <w:t>19</w:t>
      </w:r>
      <w:r>
        <w:rPr>
          <w:rFonts w:hint="eastAsia" w:ascii="宋体"/>
          <w:sz w:val="24"/>
          <w:szCs w:val="20"/>
        </w:rPr>
        <w:t>）工作站具有与LIMS系统连接的硬件能力；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（</w:t>
      </w:r>
      <w:r>
        <w:rPr>
          <w:rFonts w:hint="eastAsia" w:ascii="宋体"/>
          <w:sz w:val="24"/>
          <w:szCs w:val="20"/>
          <w:lang w:val="en-US" w:eastAsia="zh-CN"/>
        </w:rPr>
        <w:t>20</w:t>
      </w:r>
      <w:r>
        <w:rPr>
          <w:rFonts w:hint="eastAsia" w:ascii="宋体"/>
          <w:sz w:val="24"/>
          <w:szCs w:val="20"/>
        </w:rPr>
        <w:t>）环境温度：15-35˚C，环境湿度：5%~95%RH；</w:t>
      </w:r>
    </w:p>
    <w:p>
      <w:pPr>
        <w:numPr>
          <w:ilvl w:val="4"/>
          <w:numId w:val="0"/>
        </w:numPr>
        <w:spacing w:line="360" w:lineRule="auto"/>
        <w:ind w:left="153"/>
        <w:jc w:val="left"/>
        <w:outlineLvl w:val="4"/>
        <w:rPr>
          <w:rFonts w:hint="eastAsia" w:ascii="宋体"/>
          <w:sz w:val="24"/>
          <w:szCs w:val="20"/>
        </w:rPr>
      </w:pPr>
      <w:r>
        <w:rPr>
          <w:rFonts w:hint="eastAsia" w:ascii="宋体"/>
          <w:sz w:val="24"/>
          <w:szCs w:val="20"/>
        </w:rPr>
        <w:t>（</w:t>
      </w:r>
      <w:r>
        <w:rPr>
          <w:rFonts w:hint="eastAsia" w:ascii="宋体"/>
          <w:sz w:val="24"/>
          <w:szCs w:val="20"/>
          <w:lang w:val="en-US" w:eastAsia="zh-CN"/>
        </w:rPr>
        <w:t>21</w:t>
      </w:r>
      <w:r>
        <w:rPr>
          <w:rFonts w:hint="eastAsia" w:ascii="宋体"/>
          <w:sz w:val="24"/>
          <w:szCs w:val="20"/>
        </w:rPr>
        <w:t>）电源：220V，50Hz；</w:t>
      </w:r>
    </w:p>
    <w:p>
      <w:pPr>
        <w:spacing w:line="340" w:lineRule="exact"/>
        <w:ind w:firstLine="482" w:firstLineChars="200"/>
        <w:rPr>
          <w:rFonts w:ascii="宋体" w:hAnsi="宋体" w:eastAsia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</w:rPr>
        <w:t>（三）服务要求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1.供应商应按合同规定交货期限交货。货到用户现场后，双方共同开箱验货，清点货物，供应商应保证货物完整无损。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2.货交用户后，由用户通知供应商安装时间，供应商应在接到通知后为用户进行安装。用户需按照供应商提供的安装要求准备好系统安装条件。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3.供应商提供的标准安装的服务内容包括：（1）仪器的安装，（2）操作软件的培训。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4.安装调试完毕后，由双方共同验收。在确认仪器运转正常后，由双方签发验收报告。设备免费保修期（即质保期）至少2年。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5.在仪器安装现场，供应商应用工程师将提供现场培训，培训内容包括: 仪器原理、使用、维修、保养等，确保客户能够正确使用该仪器，并能自行建立方法,进行常规维修保养。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6.用户所购买仪器自安装日起，供应商无偿为用户提供免费的技术支持服务。供应商的技术支持人员将在时间允许的情况下，通过电子邮件、电话等的方式对用户的支持请求进行回复。</w:t>
      </w:r>
    </w:p>
    <w:p>
      <w:pPr>
        <w:spacing w:line="340" w:lineRule="exact"/>
        <w:ind w:firstLine="480" w:firstLineChars="200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7.用户在仪器使用过程中遇到问题，厂家技术应用工程师将在第一时间内通过电话帮助客户解决问题。如果通过电话仍然无法排除故障，厂家在2个小时内做出响应，并确保技术应用工程师或维修工程师在</w:t>
      </w:r>
      <w:r>
        <w:rPr>
          <w:rFonts w:ascii="宋体" w:hAnsi="宋体" w:eastAsia="宋体" w:cs="宋体"/>
          <w:color w:val="000000"/>
          <w:sz w:val="24"/>
          <w:shd w:val="clear" w:color="auto" w:fill="FFFFFF"/>
        </w:rPr>
        <w:t>48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小时内到达现场。</w:t>
      </w:r>
    </w:p>
    <w:p>
      <w:pPr>
        <w:spacing w:line="340" w:lineRule="exact"/>
        <w:ind w:firstLine="480" w:firstLineChars="200"/>
        <w:rPr>
          <w:b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8.根据用户需求举办现场培训，帮助用户提高日常基本维护技能和系统的操作、管理满足工作的需要。提供至少</w:t>
      </w:r>
      <w:r>
        <w:rPr>
          <w:rFonts w:ascii="宋体" w:hAnsi="宋体" w:eastAsia="宋体" w:cs="宋体"/>
          <w:color w:val="000000"/>
          <w:sz w:val="24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名设备制造商国内培训基地的培训名额（培训费用由供货商支付，住宿和差旅费用户自理），能够帮助用户建立所需实验方法，与用户共同探讨使用过程中遇到的技术问题，回答用户在仪器日常维护中所可能发生的各种疑难咨询。</w:t>
      </w:r>
    </w:p>
    <w:p>
      <w:pPr>
        <w:numPr>
          <w:ilvl w:val="0"/>
          <w:numId w:val="0"/>
        </w:numPr>
        <w:spacing w:line="480" w:lineRule="auto"/>
        <w:rPr>
          <w:rFonts w:hint="eastAsia" w:cs="宋体" w:asciiTheme="minorEastAsia" w:hAnsiTheme="minorEastAsia" w:eastAsiaTheme="minorEastAsia"/>
          <w:color w:val="000000"/>
          <w:kern w:val="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YmU5MTVhYTNlNTRiNDhkYzI0YTNkZjc2ZWNmNzIifQ=="/>
  </w:docVars>
  <w:rsids>
    <w:rsidRoot w:val="242638CE"/>
    <w:rsid w:val="0438491F"/>
    <w:rsid w:val="0C625950"/>
    <w:rsid w:val="0F120993"/>
    <w:rsid w:val="11F63EFA"/>
    <w:rsid w:val="242638CE"/>
    <w:rsid w:val="25B2553C"/>
    <w:rsid w:val="3747772F"/>
    <w:rsid w:val="4A6C728D"/>
    <w:rsid w:val="4B007631"/>
    <w:rsid w:val="69E228CC"/>
    <w:rsid w:val="76F1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(符号) 宋体 小四 行距: 1.5 倍行距"/>
    <w:basedOn w:val="1"/>
    <w:qFormat/>
    <w:uiPriority w:val="0"/>
    <w:pPr>
      <w:spacing w:line="360" w:lineRule="auto"/>
      <w:ind w:firstLine="400" w:firstLineChars="400"/>
    </w:pPr>
    <w:rPr>
      <w:rFonts w:hAnsi="宋体" w:cs="宋体"/>
      <w:sz w:val="24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2662</Words>
  <Characters>3091</Characters>
  <Lines>0</Lines>
  <Paragraphs>0</Paragraphs>
  <TotalTime>9</TotalTime>
  <ScaleCrop>false</ScaleCrop>
  <LinksUpToDate>false</LinksUpToDate>
  <CharactersWithSpaces>3138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2023-06-26T02:30:00Z</dcterms:created>
  <dc:creator>抓小朋友来吃</dc:creator>
  <cp:lastModifiedBy>抓小朋友来吃</cp:lastModifiedBy>
  <dcterms:modified xsi:type="dcterms:W3CDTF">2023-07-04T08:43:36Z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131C3A01A75D4ECEAFF3840A2C73FFA9_13</vt:lpwstr>
  </property>
</Properties>
</file>