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858" w:rsidRDefault="004E7858">
      <w:pPr>
        <w:jc w:val="center"/>
        <w:rPr>
          <w:rFonts w:ascii="方正小标宋简体" w:eastAsia="方正小标宋简体" w:hAnsi="方正小标宋简体" w:cs="方正小标宋简体"/>
          <w:b/>
          <w:bCs/>
          <w:color w:val="000000"/>
          <w:sz w:val="36"/>
          <w:szCs w:val="36"/>
        </w:rPr>
      </w:pPr>
    </w:p>
    <w:p w:rsidR="006F7AFC" w:rsidRDefault="006B3B44">
      <w:pPr>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sz w:val="36"/>
          <w:szCs w:val="36"/>
        </w:rPr>
        <w:t>清源创新实验室</w:t>
      </w:r>
      <w:r w:rsidR="004E7858" w:rsidRPr="004E7858">
        <w:rPr>
          <w:rFonts w:ascii="方正小标宋简体" w:eastAsia="方正小标宋简体" w:hAnsi="方正小标宋简体" w:cs="方正小标宋简体" w:hint="eastAsia"/>
          <w:b/>
          <w:bCs/>
          <w:color w:val="000000"/>
          <w:sz w:val="36"/>
          <w:szCs w:val="36"/>
        </w:rPr>
        <w:t>导热系数仪</w:t>
      </w:r>
      <w:r>
        <w:rPr>
          <w:rFonts w:ascii="方正小标宋简体" w:eastAsia="方正小标宋简体" w:hAnsi="方正小标宋简体" w:cs="方正小标宋简体" w:hint="eastAsia"/>
          <w:b/>
          <w:bCs/>
          <w:color w:val="000000"/>
          <w:sz w:val="36"/>
          <w:szCs w:val="36"/>
        </w:rPr>
        <w:t>需求调研情况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一、仪器设备使用的项目</w:t>
      </w:r>
    </w:p>
    <w:p w:rsidR="000C2460" w:rsidRPr="000C2460" w:rsidRDefault="004E7858" w:rsidP="004E7858">
      <w:pPr>
        <w:snapToGrid w:val="0"/>
        <w:spacing w:line="540" w:lineRule="exact"/>
        <w:ind w:firstLineChars="200" w:firstLine="640"/>
        <w:jc w:val="left"/>
        <w:rPr>
          <w:rFonts w:ascii="仿宋_GB2312" w:eastAsia="仿宋_GB2312" w:hAnsi="仿宋_GB2312" w:cs="仿宋_GB2312"/>
          <w:color w:val="000000"/>
          <w:sz w:val="32"/>
          <w:szCs w:val="32"/>
        </w:rPr>
      </w:pPr>
      <w:r w:rsidRPr="004E7858">
        <w:rPr>
          <w:rFonts w:ascii="仿宋_GB2312" w:eastAsia="仿宋_GB2312" w:hAnsi="仿宋_GB2312" w:cs="仿宋_GB2312" w:hint="eastAsia"/>
          <w:color w:val="000000"/>
          <w:sz w:val="32"/>
          <w:szCs w:val="32"/>
        </w:rPr>
        <w:t>中国福建化学工程科学与技术创新实验室(清源创新实验室)测试中心拟购置导热系数仪，主要用于物质热物性参数的测试和表征，可用于金属、合金、矿石、陶瓷、玻璃、塑料等材料的导热系数的测定。清源创新实验室将承担大量科研和研究生培养工作，但目前没有导热系数仪，无法开展相关的研究工作。鉴于上述情况，测试中心经过多轮讨论，一致认为，导热系数仪是清源创新实验室目前需求迫切、能发挥较大效益的分析仪器。所以清源创新实验室测试中心申请购置一台主要服务于清源创新实验室、以测试为主、性能指标能够满足常规科研和教学需要、精确度高、性能稳定可靠的导热系数仪。</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二、在该项目中所承担的任务</w:t>
      </w:r>
    </w:p>
    <w:p w:rsidR="004E7858" w:rsidRPr="004E7858" w:rsidRDefault="004E7858" w:rsidP="004E7858">
      <w:pPr>
        <w:snapToGrid w:val="0"/>
        <w:spacing w:line="540" w:lineRule="exact"/>
        <w:ind w:firstLineChars="200" w:firstLine="640"/>
        <w:jc w:val="left"/>
        <w:rPr>
          <w:rFonts w:ascii="仿宋_GB2312" w:eastAsia="仿宋_GB2312" w:hAnsi="仿宋_GB2312" w:cs="仿宋_GB2312" w:hint="eastAsia"/>
          <w:color w:val="000000"/>
          <w:sz w:val="32"/>
          <w:szCs w:val="32"/>
        </w:rPr>
      </w:pPr>
      <w:r w:rsidRPr="004E7858">
        <w:rPr>
          <w:rFonts w:ascii="仿宋_GB2312" w:eastAsia="仿宋_GB2312" w:hAnsi="仿宋_GB2312" w:cs="仿宋_GB2312" w:hint="eastAsia"/>
          <w:color w:val="000000"/>
          <w:sz w:val="32"/>
          <w:szCs w:val="32"/>
        </w:rPr>
        <w:t>导热系数仪可用于测试大量不同类型的材料，包括高分子、涂层、塑料、油品、基底材料、纳米材料以及液体、凝胶、相转变或界面材料，还可以用于各向异性材料如纤维增强材料和多层材料的测试。目前清源创新实验室尚无椭圆偏振光谱仪，该设备的购买可供实验室各研究方向使用。该设备的引入，有利于促进清源创新</w:t>
      </w:r>
      <w:r w:rsidRPr="004E7858">
        <w:rPr>
          <w:rFonts w:ascii="仿宋_GB2312" w:eastAsia="仿宋_GB2312" w:hAnsi="仿宋_GB2312" w:cs="仿宋_GB2312"/>
          <w:color w:val="000000"/>
          <w:sz w:val="32"/>
          <w:szCs w:val="32"/>
        </w:rPr>
        <w:t>实验室</w:t>
      </w:r>
      <w:r w:rsidRPr="004E7858">
        <w:rPr>
          <w:rFonts w:ascii="仿宋_GB2312" w:eastAsia="仿宋_GB2312" w:hAnsi="仿宋_GB2312" w:cs="仿宋_GB2312" w:hint="eastAsia"/>
          <w:color w:val="000000"/>
          <w:sz w:val="32"/>
          <w:szCs w:val="32"/>
        </w:rPr>
        <w:t>在催化、高分子等领域</w:t>
      </w:r>
      <w:r w:rsidRPr="004E7858">
        <w:rPr>
          <w:rFonts w:ascii="仿宋_GB2312" w:eastAsia="仿宋_GB2312" w:hAnsi="仿宋_GB2312" w:cs="仿宋_GB2312"/>
          <w:color w:val="000000"/>
          <w:sz w:val="32"/>
          <w:szCs w:val="32"/>
        </w:rPr>
        <w:t>的研发</w:t>
      </w:r>
      <w:r w:rsidRPr="004E7858">
        <w:rPr>
          <w:rFonts w:ascii="仿宋_GB2312" w:eastAsia="仿宋_GB2312" w:hAnsi="仿宋_GB2312" w:cs="仿宋_GB2312" w:hint="eastAsia"/>
          <w:color w:val="000000"/>
          <w:sz w:val="32"/>
          <w:szCs w:val="32"/>
        </w:rPr>
        <w:t>工作，提升科研</w:t>
      </w:r>
      <w:r w:rsidRPr="004E7858">
        <w:rPr>
          <w:rFonts w:ascii="仿宋_GB2312" w:eastAsia="仿宋_GB2312" w:hAnsi="仿宋_GB2312" w:cs="仿宋_GB2312"/>
          <w:color w:val="000000"/>
          <w:sz w:val="32"/>
          <w:szCs w:val="32"/>
        </w:rPr>
        <w:t>分析方面的</w:t>
      </w:r>
      <w:r w:rsidRPr="004E7858">
        <w:rPr>
          <w:rFonts w:ascii="仿宋_GB2312" w:eastAsia="仿宋_GB2312" w:hAnsi="仿宋_GB2312" w:cs="仿宋_GB2312" w:hint="eastAsia"/>
          <w:color w:val="000000"/>
          <w:sz w:val="32"/>
          <w:szCs w:val="32"/>
        </w:rPr>
        <w:t>水平，提高研究生的综合知识和创新能力。</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三、国内外同类项目所用的仪器设备及优缺点对比</w:t>
      </w:r>
    </w:p>
    <w:p w:rsidR="000C2460" w:rsidRPr="000C2460" w:rsidRDefault="000C2460" w:rsidP="000C2460">
      <w:pPr>
        <w:snapToGrid w:val="0"/>
        <w:spacing w:line="540" w:lineRule="exact"/>
        <w:ind w:firstLineChars="200" w:firstLine="643"/>
        <w:jc w:val="left"/>
        <w:rPr>
          <w:rFonts w:ascii="仿宋_GB2312" w:eastAsia="仿宋_GB2312" w:hAnsi="仿宋_GB2312" w:cs="仿宋_GB2312"/>
          <w:b/>
          <w:color w:val="000000"/>
          <w:sz w:val="32"/>
          <w:szCs w:val="32"/>
          <w:lang w:val="en-GB"/>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8"/>
        <w:gridCol w:w="2188"/>
        <w:gridCol w:w="2188"/>
        <w:gridCol w:w="2188"/>
      </w:tblGrid>
      <w:tr w:rsidR="004E7858" w:rsidRPr="003569CD" w:rsidTr="004E7858">
        <w:trPr>
          <w:trHeight w:val="464"/>
          <w:jc w:val="center"/>
        </w:trPr>
        <w:tc>
          <w:tcPr>
            <w:tcW w:w="2188" w:type="dxa"/>
            <w:tcBorders>
              <w:top w:val="single" w:sz="4" w:space="0" w:color="auto"/>
              <w:left w:val="single" w:sz="4" w:space="0" w:color="auto"/>
              <w:bottom w:val="single" w:sz="4" w:space="0" w:color="auto"/>
              <w:right w:val="single" w:sz="4" w:space="0" w:color="auto"/>
            </w:tcBorders>
            <w:vAlign w:val="center"/>
          </w:tcPr>
          <w:p w:rsidR="004E7858" w:rsidRPr="00AE47DF" w:rsidRDefault="004E7858" w:rsidP="004E7858">
            <w:pPr>
              <w:widowControl/>
              <w:jc w:val="center"/>
              <w:textAlignment w:val="center"/>
              <w:rPr>
                <w:rFonts w:ascii="Times New Roman" w:eastAsia="仿宋" w:hAnsi="Times New Roman" w:cs="Times New Roman"/>
                <w:b/>
                <w:bCs/>
                <w:color w:val="000000"/>
                <w:kern w:val="0"/>
                <w:sz w:val="24"/>
              </w:rPr>
            </w:pPr>
            <w:r w:rsidRPr="00AE47DF">
              <w:rPr>
                <w:rFonts w:ascii="Times New Roman" w:eastAsia="仿宋" w:hAnsi="Times New Roman" w:cs="Times New Roman"/>
                <w:b/>
                <w:bCs/>
                <w:color w:val="000000"/>
                <w:kern w:val="0"/>
                <w:sz w:val="24"/>
                <w:lang w:bidi="ar"/>
              </w:rPr>
              <w:t>仪器品牌</w:t>
            </w:r>
          </w:p>
        </w:tc>
        <w:tc>
          <w:tcPr>
            <w:tcW w:w="2188" w:type="dxa"/>
            <w:tcBorders>
              <w:top w:val="single" w:sz="4" w:space="0" w:color="auto"/>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瑞典</w:t>
            </w:r>
            <w:r w:rsidRPr="00AE47DF">
              <w:rPr>
                <w:rFonts w:ascii="Times New Roman" w:eastAsia="仿宋" w:hAnsi="Times New Roman" w:cs="Times New Roman"/>
                <w:sz w:val="24"/>
              </w:rPr>
              <w:t xml:space="preserve"> Hot Disk</w:t>
            </w:r>
          </w:p>
        </w:tc>
        <w:tc>
          <w:tcPr>
            <w:tcW w:w="2188" w:type="dxa"/>
            <w:tcBorders>
              <w:top w:val="single" w:sz="4" w:space="0" w:color="auto"/>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耐驰</w:t>
            </w:r>
          </w:p>
        </w:tc>
        <w:tc>
          <w:tcPr>
            <w:tcW w:w="2188" w:type="dxa"/>
            <w:tcBorders>
              <w:top w:val="single" w:sz="4" w:space="0" w:color="auto"/>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bookmarkStart w:id="0" w:name="_GoBack"/>
            <w:bookmarkEnd w:id="0"/>
            <w:r w:rsidRPr="00AE47DF">
              <w:rPr>
                <w:rFonts w:ascii="Times New Roman" w:eastAsia="仿宋" w:hAnsi="Times New Roman" w:cs="Times New Roman"/>
                <w:sz w:val="24"/>
              </w:rPr>
              <w:t>美国</w:t>
            </w:r>
            <w:r w:rsidRPr="00AE47DF">
              <w:rPr>
                <w:rFonts w:ascii="Times New Roman" w:eastAsia="仿宋" w:hAnsi="Times New Roman" w:cs="Times New Roman"/>
                <w:sz w:val="24"/>
              </w:rPr>
              <w:t>TA</w:t>
            </w:r>
          </w:p>
        </w:tc>
      </w:tr>
      <w:tr w:rsidR="004E7858" w:rsidRPr="003569CD" w:rsidTr="004E7858">
        <w:trPr>
          <w:trHeight w:val="511"/>
          <w:jc w:val="center"/>
        </w:trPr>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widowControl/>
              <w:jc w:val="center"/>
              <w:textAlignment w:val="center"/>
              <w:rPr>
                <w:rFonts w:ascii="Times New Roman" w:eastAsia="仿宋" w:hAnsi="Times New Roman" w:cs="Times New Roman"/>
                <w:b/>
                <w:bCs/>
                <w:color w:val="000000"/>
                <w:sz w:val="24"/>
              </w:rPr>
            </w:pPr>
            <w:r w:rsidRPr="00AE47DF">
              <w:rPr>
                <w:rFonts w:ascii="Times New Roman" w:eastAsia="仿宋" w:hAnsi="Times New Roman" w:cs="Times New Roman"/>
                <w:b/>
                <w:bCs/>
                <w:color w:val="000000"/>
                <w:kern w:val="0"/>
                <w:sz w:val="24"/>
                <w:lang w:bidi="ar"/>
              </w:rPr>
              <w:t>仪器型号</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TPS 2500S</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LF467</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DTC300</w:t>
            </w:r>
          </w:p>
        </w:tc>
      </w:tr>
      <w:tr w:rsidR="004E7858" w:rsidRPr="003569CD" w:rsidTr="004E7858">
        <w:trPr>
          <w:trHeight w:val="457"/>
          <w:jc w:val="center"/>
        </w:trPr>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widowControl/>
              <w:jc w:val="center"/>
              <w:textAlignment w:val="center"/>
              <w:rPr>
                <w:rFonts w:ascii="Times New Roman" w:eastAsia="仿宋" w:hAnsi="Times New Roman" w:cs="Times New Roman"/>
                <w:b/>
                <w:bCs/>
                <w:color w:val="000000"/>
                <w:sz w:val="24"/>
              </w:rPr>
            </w:pPr>
            <w:r w:rsidRPr="00AE47DF">
              <w:rPr>
                <w:rFonts w:ascii="Times New Roman" w:eastAsia="仿宋" w:hAnsi="Times New Roman" w:cs="Times New Roman"/>
                <w:b/>
                <w:bCs/>
                <w:color w:val="000000"/>
                <w:kern w:val="0"/>
                <w:sz w:val="24"/>
                <w:lang w:bidi="ar"/>
              </w:rPr>
              <w:t>仪器归属</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widowControl/>
              <w:jc w:val="center"/>
              <w:textAlignment w:val="center"/>
              <w:rPr>
                <w:rFonts w:ascii="Times New Roman" w:eastAsia="仿宋" w:hAnsi="Times New Roman" w:cs="Times New Roman"/>
                <w:color w:val="000000"/>
                <w:sz w:val="24"/>
              </w:rPr>
            </w:pPr>
            <w:r w:rsidRPr="00AE47DF">
              <w:rPr>
                <w:rFonts w:ascii="Times New Roman" w:eastAsia="仿宋" w:hAnsi="Times New Roman" w:cs="Times New Roman"/>
                <w:color w:val="000000"/>
                <w:sz w:val="24"/>
              </w:rPr>
              <w:t>进口</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widowControl/>
              <w:jc w:val="center"/>
              <w:textAlignment w:val="center"/>
              <w:rPr>
                <w:rFonts w:ascii="Times New Roman" w:eastAsia="仿宋" w:hAnsi="Times New Roman" w:cs="Times New Roman"/>
                <w:color w:val="000000"/>
                <w:sz w:val="24"/>
              </w:rPr>
            </w:pPr>
            <w:r w:rsidRPr="00AE47DF">
              <w:rPr>
                <w:rFonts w:ascii="Times New Roman" w:eastAsia="仿宋" w:hAnsi="Times New Roman" w:cs="Times New Roman"/>
                <w:color w:val="000000"/>
                <w:sz w:val="24"/>
              </w:rPr>
              <w:t>进口</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widowControl/>
              <w:jc w:val="center"/>
              <w:textAlignment w:val="center"/>
              <w:rPr>
                <w:rFonts w:ascii="Times New Roman" w:eastAsia="仿宋" w:hAnsi="Times New Roman" w:cs="Times New Roman"/>
                <w:color w:val="000000"/>
                <w:kern w:val="0"/>
                <w:sz w:val="24"/>
                <w:lang w:bidi="ar"/>
              </w:rPr>
            </w:pPr>
            <w:r w:rsidRPr="00AE47DF">
              <w:rPr>
                <w:rFonts w:ascii="Times New Roman" w:eastAsia="仿宋" w:hAnsi="Times New Roman" w:cs="Times New Roman"/>
                <w:color w:val="000000"/>
                <w:kern w:val="0"/>
                <w:sz w:val="24"/>
                <w:lang w:bidi="ar"/>
              </w:rPr>
              <w:t>进口</w:t>
            </w:r>
          </w:p>
        </w:tc>
      </w:tr>
      <w:tr w:rsidR="004E7858" w:rsidRPr="003569CD" w:rsidTr="004E7858">
        <w:trPr>
          <w:trHeight w:val="411"/>
          <w:jc w:val="center"/>
        </w:trPr>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b/>
                <w:sz w:val="24"/>
              </w:rPr>
            </w:pPr>
            <w:r w:rsidRPr="00AE47DF">
              <w:rPr>
                <w:rFonts w:ascii="Times New Roman" w:eastAsia="仿宋" w:hAnsi="Times New Roman" w:cs="Times New Roman"/>
                <w:b/>
                <w:sz w:val="24"/>
              </w:rPr>
              <w:t>导热系数范围</w:t>
            </w:r>
            <w:r w:rsidRPr="00AE47DF">
              <w:rPr>
                <w:rFonts w:ascii="Times New Roman" w:eastAsia="仿宋" w:hAnsi="Times New Roman" w:cs="Times New Roman"/>
                <w:b/>
                <w:sz w:val="24"/>
              </w:rPr>
              <w:lastRenderedPageBreak/>
              <w:t>（</w:t>
            </w:r>
            <w:r w:rsidRPr="00AE47DF">
              <w:rPr>
                <w:rFonts w:ascii="Times New Roman" w:eastAsia="仿宋" w:hAnsi="Times New Roman" w:cs="Times New Roman"/>
                <w:b/>
                <w:sz w:val="24"/>
              </w:rPr>
              <w:t>w/mk</w:t>
            </w:r>
            <w:r w:rsidRPr="00AE47DF">
              <w:rPr>
                <w:rFonts w:ascii="Times New Roman" w:eastAsia="仿宋" w:hAnsi="Times New Roman" w:cs="Times New Roman"/>
                <w:b/>
                <w:sz w:val="24"/>
              </w:rPr>
              <w:t>）</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lastRenderedPageBreak/>
              <w:t>0.005 ~ 1800</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0.1 ~ 2000</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0.1 ~ 40</w:t>
            </w:r>
          </w:p>
        </w:tc>
      </w:tr>
      <w:tr w:rsidR="004E7858" w:rsidRPr="003569CD" w:rsidTr="004E7858">
        <w:trPr>
          <w:trHeight w:val="411"/>
          <w:jc w:val="center"/>
        </w:trPr>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b/>
                <w:sz w:val="24"/>
              </w:rPr>
            </w:pPr>
            <w:r w:rsidRPr="00AE47DF">
              <w:rPr>
                <w:rFonts w:ascii="Times New Roman" w:eastAsia="仿宋" w:hAnsi="Times New Roman" w:cs="Times New Roman"/>
                <w:b/>
                <w:sz w:val="24"/>
              </w:rPr>
              <w:t>热扩散系数范围（</w:t>
            </w:r>
            <w:r w:rsidRPr="00AE47DF">
              <w:rPr>
                <w:rFonts w:ascii="Times New Roman" w:eastAsia="仿宋" w:hAnsi="Times New Roman" w:cs="Times New Roman"/>
                <w:b/>
                <w:sz w:val="24"/>
              </w:rPr>
              <w:t>mm</w:t>
            </w:r>
            <w:r w:rsidRPr="00AE47DF">
              <w:rPr>
                <w:rFonts w:ascii="Times New Roman" w:eastAsia="仿宋" w:hAnsi="Times New Roman" w:cs="Times New Roman"/>
                <w:b/>
                <w:sz w:val="24"/>
                <w:vertAlign w:val="superscript"/>
              </w:rPr>
              <w:t>2</w:t>
            </w:r>
            <w:r w:rsidRPr="00AE47DF">
              <w:rPr>
                <w:rFonts w:ascii="Times New Roman" w:eastAsia="仿宋" w:hAnsi="Times New Roman" w:cs="Times New Roman"/>
                <w:b/>
                <w:sz w:val="24"/>
              </w:rPr>
              <w:t>/s</w:t>
            </w:r>
            <w:r w:rsidRPr="00AE47DF">
              <w:rPr>
                <w:rFonts w:ascii="Times New Roman" w:eastAsia="仿宋" w:hAnsi="Times New Roman" w:cs="Times New Roman"/>
                <w:b/>
                <w:sz w:val="24"/>
              </w:rPr>
              <w:t>）</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0.01~1200</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0.01 ~ 1000</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w:t>
            </w:r>
          </w:p>
        </w:tc>
      </w:tr>
      <w:tr w:rsidR="004E7858" w:rsidRPr="003569CD" w:rsidTr="004E7858">
        <w:trPr>
          <w:trHeight w:val="411"/>
          <w:jc w:val="center"/>
        </w:trPr>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b/>
                <w:sz w:val="24"/>
              </w:rPr>
            </w:pPr>
            <w:r w:rsidRPr="00AE47DF">
              <w:rPr>
                <w:rFonts w:ascii="Times New Roman" w:eastAsia="仿宋" w:hAnsi="Times New Roman" w:cs="Times New Roman"/>
                <w:b/>
                <w:sz w:val="24"/>
              </w:rPr>
              <w:t>导热系数测试准确度</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±3%</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±10%</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±3%</w:t>
            </w:r>
          </w:p>
        </w:tc>
      </w:tr>
      <w:tr w:rsidR="004E7858" w:rsidRPr="003569CD" w:rsidTr="004E7858">
        <w:trPr>
          <w:trHeight w:val="627"/>
          <w:jc w:val="center"/>
        </w:trPr>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b/>
                <w:sz w:val="24"/>
              </w:rPr>
            </w:pPr>
            <w:r w:rsidRPr="00AE47DF">
              <w:rPr>
                <w:rFonts w:ascii="Times New Roman" w:eastAsia="仿宋" w:hAnsi="Times New Roman" w:cs="Times New Roman"/>
                <w:b/>
                <w:sz w:val="24"/>
              </w:rPr>
              <w:t>重复性精度</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±1%</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±3%</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±1-2%</w:t>
            </w:r>
          </w:p>
        </w:tc>
      </w:tr>
      <w:tr w:rsidR="004E7858" w:rsidRPr="003569CD" w:rsidTr="004E7858">
        <w:trPr>
          <w:trHeight w:val="627"/>
          <w:jc w:val="center"/>
        </w:trPr>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b/>
                <w:sz w:val="24"/>
              </w:rPr>
            </w:pPr>
            <w:r w:rsidRPr="00AE47DF">
              <w:rPr>
                <w:rFonts w:ascii="Times New Roman" w:eastAsia="仿宋" w:hAnsi="Times New Roman" w:cs="Times New Roman"/>
                <w:b/>
                <w:sz w:val="24"/>
              </w:rPr>
              <w:t>样品类型</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固体，液体，粉末，膏状物，薄膜，各向异性材料等</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固体</w:t>
            </w:r>
            <w:r w:rsidRPr="00AE47DF">
              <w:rPr>
                <w:rFonts w:ascii="Times New Roman" w:eastAsia="仿宋" w:hAnsi="Times New Roman" w:cs="Times New Roman"/>
                <w:sz w:val="24"/>
              </w:rPr>
              <w:t xml:space="preserve"> </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固体，膏状材料，液体，薄膜</w:t>
            </w:r>
            <w:r w:rsidRPr="00AE47DF">
              <w:rPr>
                <w:rFonts w:ascii="Times New Roman" w:eastAsia="仿宋" w:hAnsi="Times New Roman" w:cs="Times New Roman"/>
                <w:sz w:val="24"/>
              </w:rPr>
              <w:t xml:space="preserve">, </w:t>
            </w:r>
            <w:r w:rsidRPr="00AE47DF">
              <w:rPr>
                <w:rFonts w:ascii="Times New Roman" w:eastAsia="仿宋" w:hAnsi="Times New Roman" w:cs="Times New Roman"/>
                <w:sz w:val="24"/>
              </w:rPr>
              <w:t>高分子熔融</w:t>
            </w:r>
          </w:p>
        </w:tc>
      </w:tr>
      <w:tr w:rsidR="004E7858" w:rsidRPr="003569CD" w:rsidTr="004E7858">
        <w:trPr>
          <w:trHeight w:val="516"/>
          <w:jc w:val="center"/>
        </w:trPr>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b/>
                <w:sz w:val="24"/>
              </w:rPr>
            </w:pPr>
            <w:r w:rsidRPr="00AE47DF">
              <w:rPr>
                <w:rFonts w:ascii="Times New Roman" w:eastAsia="仿宋" w:hAnsi="Times New Roman" w:cs="Times New Roman"/>
                <w:b/>
                <w:sz w:val="24"/>
              </w:rPr>
              <w:t>测试时间</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最短</w:t>
            </w:r>
            <w:r w:rsidRPr="00AE47DF">
              <w:rPr>
                <w:rFonts w:ascii="Times New Roman" w:eastAsia="仿宋" w:hAnsi="Times New Roman" w:cs="Times New Roman"/>
                <w:sz w:val="24"/>
              </w:rPr>
              <w:t>1</w:t>
            </w:r>
            <w:r w:rsidRPr="00AE47DF">
              <w:rPr>
                <w:rFonts w:ascii="Times New Roman" w:eastAsia="仿宋" w:hAnsi="Times New Roman" w:cs="Times New Roman"/>
                <w:sz w:val="24"/>
              </w:rPr>
              <w:t>秒</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最短几秒</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数小时</w:t>
            </w:r>
          </w:p>
        </w:tc>
      </w:tr>
      <w:tr w:rsidR="004E7858" w:rsidRPr="003569CD" w:rsidTr="004E7858">
        <w:trPr>
          <w:trHeight w:val="386"/>
          <w:jc w:val="center"/>
        </w:trPr>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b/>
                <w:sz w:val="24"/>
              </w:rPr>
            </w:pPr>
            <w:r w:rsidRPr="00AE47DF">
              <w:rPr>
                <w:rFonts w:ascii="Times New Roman" w:eastAsia="仿宋" w:hAnsi="Times New Roman" w:cs="Times New Roman"/>
                <w:b/>
                <w:sz w:val="24"/>
              </w:rPr>
              <w:t>各向异性</w:t>
            </w:r>
          </w:p>
        </w:tc>
        <w:tc>
          <w:tcPr>
            <w:tcW w:w="2188" w:type="dxa"/>
            <w:tcBorders>
              <w:top w:val="nil"/>
              <w:left w:val="single" w:sz="4" w:space="0" w:color="auto"/>
              <w:bottom w:val="single" w:sz="4" w:space="0" w:color="auto"/>
              <w:right w:val="single" w:sz="4" w:space="0" w:color="auto"/>
            </w:tcBorders>
            <w:vAlign w:val="bottom"/>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有</w:t>
            </w:r>
          </w:p>
        </w:tc>
        <w:tc>
          <w:tcPr>
            <w:tcW w:w="2188" w:type="dxa"/>
            <w:tcBorders>
              <w:top w:val="nil"/>
              <w:left w:val="single" w:sz="4" w:space="0" w:color="auto"/>
              <w:bottom w:val="single" w:sz="4" w:space="0" w:color="auto"/>
              <w:right w:val="single" w:sz="4" w:space="0" w:color="auto"/>
            </w:tcBorders>
            <w:vAlign w:val="bottom"/>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无</w:t>
            </w:r>
          </w:p>
        </w:tc>
        <w:tc>
          <w:tcPr>
            <w:tcW w:w="2188" w:type="dxa"/>
            <w:tcBorders>
              <w:top w:val="nil"/>
              <w:left w:val="single" w:sz="4" w:space="0" w:color="auto"/>
              <w:bottom w:val="single" w:sz="4" w:space="0" w:color="auto"/>
              <w:right w:val="single" w:sz="4" w:space="0" w:color="auto"/>
            </w:tcBorders>
            <w:vAlign w:val="bottom"/>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无</w:t>
            </w:r>
          </w:p>
        </w:tc>
      </w:tr>
      <w:tr w:rsidR="004E7858" w:rsidRPr="003569CD" w:rsidTr="004E7858">
        <w:trPr>
          <w:trHeight w:val="386"/>
          <w:jc w:val="center"/>
        </w:trPr>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b/>
                <w:sz w:val="24"/>
              </w:rPr>
            </w:pPr>
            <w:r w:rsidRPr="00AE47DF">
              <w:rPr>
                <w:rFonts w:ascii="Times New Roman" w:eastAsia="仿宋" w:hAnsi="Times New Roman" w:cs="Times New Roman"/>
                <w:b/>
                <w:sz w:val="24"/>
              </w:rPr>
              <w:t>样品尺寸</w:t>
            </w:r>
          </w:p>
        </w:tc>
        <w:tc>
          <w:tcPr>
            <w:tcW w:w="2188" w:type="dxa"/>
            <w:tcBorders>
              <w:top w:val="nil"/>
              <w:left w:val="single" w:sz="4" w:space="0" w:color="auto"/>
              <w:bottom w:val="single" w:sz="4" w:space="0" w:color="auto"/>
              <w:right w:val="single" w:sz="4" w:space="0" w:color="auto"/>
            </w:tcBorders>
            <w:vAlign w:val="bottom"/>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最小直径</w:t>
            </w:r>
            <w:r w:rsidRPr="00AE47DF">
              <w:rPr>
                <w:rFonts w:ascii="Times New Roman" w:eastAsia="仿宋" w:hAnsi="Times New Roman" w:cs="Times New Roman"/>
                <w:sz w:val="24"/>
              </w:rPr>
              <w:t>5mm</w:t>
            </w:r>
          </w:p>
        </w:tc>
        <w:tc>
          <w:tcPr>
            <w:tcW w:w="2188" w:type="dxa"/>
            <w:tcBorders>
              <w:top w:val="nil"/>
              <w:left w:val="single" w:sz="4" w:space="0" w:color="auto"/>
              <w:bottom w:val="single" w:sz="4" w:space="0" w:color="auto"/>
              <w:right w:val="single" w:sz="4" w:space="0" w:color="auto"/>
            </w:tcBorders>
            <w:vAlign w:val="bottom"/>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直径</w:t>
            </w:r>
            <w:r w:rsidRPr="00AE47DF">
              <w:rPr>
                <w:rFonts w:ascii="Times New Roman" w:eastAsia="仿宋" w:hAnsi="Times New Roman" w:cs="Times New Roman"/>
                <w:sz w:val="24"/>
              </w:rPr>
              <w:t>12.7mm</w:t>
            </w:r>
          </w:p>
        </w:tc>
        <w:tc>
          <w:tcPr>
            <w:tcW w:w="2188" w:type="dxa"/>
            <w:tcBorders>
              <w:top w:val="nil"/>
              <w:left w:val="single" w:sz="4" w:space="0" w:color="auto"/>
              <w:bottom w:val="single" w:sz="4" w:space="0" w:color="auto"/>
              <w:right w:val="single" w:sz="4" w:space="0" w:color="auto"/>
            </w:tcBorders>
            <w:vAlign w:val="bottom"/>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固定</w:t>
            </w:r>
            <w:r w:rsidRPr="00AE47DF">
              <w:rPr>
                <w:rFonts w:ascii="Times New Roman" w:eastAsia="仿宋" w:hAnsi="Times New Roman" w:cs="Times New Roman"/>
                <w:sz w:val="24"/>
              </w:rPr>
              <w:t>50mm</w:t>
            </w:r>
          </w:p>
        </w:tc>
      </w:tr>
      <w:tr w:rsidR="004E7858" w:rsidRPr="003569CD" w:rsidTr="004E7858">
        <w:trPr>
          <w:trHeight w:val="386"/>
          <w:jc w:val="center"/>
        </w:trPr>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b/>
                <w:sz w:val="24"/>
              </w:rPr>
            </w:pPr>
            <w:r w:rsidRPr="00AE47DF">
              <w:rPr>
                <w:rFonts w:ascii="Times New Roman" w:eastAsia="仿宋" w:hAnsi="Times New Roman" w:cs="Times New Roman"/>
                <w:b/>
                <w:sz w:val="24"/>
              </w:rPr>
              <w:t>最小厚度</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10um</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1~3mm</w:t>
            </w:r>
          </w:p>
        </w:tc>
        <w:tc>
          <w:tcPr>
            <w:tcW w:w="2188" w:type="dxa"/>
            <w:tcBorders>
              <w:top w:val="nil"/>
              <w:left w:val="single" w:sz="4" w:space="0" w:color="auto"/>
              <w:bottom w:val="single" w:sz="4" w:space="0" w:color="auto"/>
              <w:right w:val="single" w:sz="4" w:space="0" w:color="auto"/>
            </w:tcBorders>
            <w:vAlign w:val="center"/>
          </w:tcPr>
          <w:p w:rsidR="004E7858" w:rsidRPr="00AE47DF" w:rsidRDefault="004E7858" w:rsidP="004E7858">
            <w:pPr>
              <w:jc w:val="center"/>
              <w:rPr>
                <w:rFonts w:ascii="Times New Roman" w:eastAsia="仿宋" w:hAnsi="Times New Roman" w:cs="Times New Roman"/>
                <w:sz w:val="24"/>
              </w:rPr>
            </w:pPr>
            <w:r w:rsidRPr="00AE47DF">
              <w:rPr>
                <w:rFonts w:ascii="Times New Roman" w:eastAsia="仿宋" w:hAnsi="Times New Roman" w:cs="Times New Roman"/>
                <w:sz w:val="24"/>
              </w:rPr>
              <w:t>0.1mm</w:t>
            </w:r>
          </w:p>
        </w:tc>
      </w:tr>
    </w:tbl>
    <w:p w:rsidR="003569CD" w:rsidRDefault="003569CD">
      <w:pPr>
        <w:snapToGrid w:val="0"/>
        <w:spacing w:line="540" w:lineRule="exact"/>
        <w:ind w:firstLineChars="200" w:firstLine="640"/>
        <w:jc w:val="left"/>
        <w:rPr>
          <w:rFonts w:ascii="仿宋_GB2312" w:eastAsia="仿宋_GB2312" w:hAnsi="仿宋_GB2312" w:cs="仿宋_GB2312"/>
          <w:color w:val="000000"/>
          <w:sz w:val="32"/>
          <w:szCs w:val="32"/>
        </w:rPr>
      </w:pP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四、条件准备情况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实验室具备电（220V单相电源）、通风（排气系统）、实验平台等安装条件。</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五、可能存在的安全性问题</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该设备使用过程无放射物产生，可能产生少量废气</w:t>
      </w:r>
      <w:r w:rsidR="0059767E">
        <w:rPr>
          <w:rFonts w:ascii="仿宋_GB2312" w:eastAsia="仿宋_GB2312" w:hAnsi="仿宋_GB2312" w:cs="仿宋_GB2312" w:hint="eastAsia"/>
          <w:color w:val="000000"/>
          <w:sz w:val="32"/>
          <w:szCs w:val="32"/>
        </w:rPr>
        <w:t>、废液</w:t>
      </w:r>
      <w:r>
        <w:rPr>
          <w:rFonts w:ascii="仿宋_GB2312" w:eastAsia="仿宋_GB2312" w:hAnsi="仿宋_GB2312" w:cs="仿宋_GB2312" w:hint="eastAsia"/>
          <w:color w:val="000000"/>
          <w:sz w:val="32"/>
          <w:szCs w:val="32"/>
        </w:rPr>
        <w:t>可由通风净化系统</w:t>
      </w:r>
      <w:r w:rsidR="0059767E">
        <w:rPr>
          <w:rFonts w:ascii="仿宋_GB2312" w:eastAsia="仿宋_GB2312" w:hAnsi="仿宋_GB2312" w:cs="仿宋_GB2312" w:hint="eastAsia"/>
          <w:color w:val="000000"/>
          <w:sz w:val="32"/>
          <w:szCs w:val="32"/>
        </w:rPr>
        <w:t>及废液收集系统</w:t>
      </w:r>
      <w:r>
        <w:rPr>
          <w:rFonts w:ascii="仿宋_GB2312" w:eastAsia="仿宋_GB2312" w:hAnsi="仿宋_GB2312" w:cs="仿宋_GB2312" w:hint="eastAsia"/>
          <w:color w:val="000000"/>
          <w:sz w:val="32"/>
          <w:szCs w:val="32"/>
        </w:rPr>
        <w:t>处理，不会产生安全性问题。</w:t>
      </w:r>
    </w:p>
    <w:sectPr w:rsidR="006F7AFC">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CCF" w:rsidRDefault="00F02CCF">
      <w:r>
        <w:separator/>
      </w:r>
    </w:p>
  </w:endnote>
  <w:endnote w:type="continuationSeparator" w:id="0">
    <w:p w:rsidR="00F02CCF" w:rsidRDefault="00F0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AFC" w:rsidRDefault="006B3B44">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wps:txbx>
                    <wps:bodyPr wrap="none" lIns="0" tIns="0" rIns="0" bIns="0">
                      <a:spAutoFit/>
                    </wps:bodyPr>
                  </wps:wsp>
                </a:graphicData>
              </a:graphic>
            </wp:anchor>
          </w:drawing>
        </mc:Choice>
        <mc:Fallback xmlns:wpsCustomData="http://www.wps.cn/officeDocument/2013/wpsCustomData">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9"/>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CCF" w:rsidRDefault="00F02CCF">
      <w:r>
        <w:separator/>
      </w:r>
    </w:p>
  </w:footnote>
  <w:footnote w:type="continuationSeparator" w:id="0">
    <w:p w:rsidR="00F02CCF" w:rsidRDefault="00F0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2B1651"/>
    <w:rsid w:val="003569CD"/>
    <w:rsid w:val="00381E33"/>
    <w:rsid w:val="004E5283"/>
    <w:rsid w:val="004E7858"/>
    <w:rsid w:val="00576CAE"/>
    <w:rsid w:val="0059767E"/>
    <w:rsid w:val="006B3B44"/>
    <w:rsid w:val="006F7AFC"/>
    <w:rsid w:val="00900F44"/>
    <w:rsid w:val="00921206"/>
    <w:rsid w:val="00971CC6"/>
    <w:rsid w:val="00AF2930"/>
    <w:rsid w:val="00DF537F"/>
    <w:rsid w:val="00EB7E60"/>
    <w:rsid w:val="00F02CCF"/>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0948"/>
  <w15:docId w15:val="{9470B5DF-CE45-47FA-921C-26F1B4A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qFormat/>
    <w:pPr>
      <w:widowControl/>
      <w:spacing w:before="100" w:beforeAutospacing="1" w:after="100" w:afterAutospacing="1"/>
      <w:jc w:val="left"/>
    </w:pPr>
    <w:rPr>
      <w:rFonts w:ascii="宋体" w:eastAsia="宋体" w:hAnsi="宋体" w:cs="宋体"/>
      <w:kern w:val="0"/>
      <w:sz w:val="24"/>
    </w:rPr>
  </w:style>
  <w:style w:type="paragraph" w:customStyle="1" w:styleId="Heading41">
    <w:name w:val="Heading #4|1"/>
    <w:basedOn w:val="a"/>
    <w:qFormat/>
    <w:pPr>
      <w:spacing w:after="70" w:line="414" w:lineRule="exact"/>
      <w:outlineLvl w:val="3"/>
    </w:pPr>
    <w:rPr>
      <w:rFonts w:ascii="宋体" w:eastAsia="宋体" w:hAnsi="宋体" w:cs="宋体"/>
      <w:sz w:val="28"/>
      <w:szCs w:val="28"/>
      <w:lang w:val="zh-TW" w:eastAsia="zh-TW" w:bidi="zh-TW"/>
    </w:rPr>
  </w:style>
  <w:style w:type="paragraph" w:customStyle="1" w:styleId="Bodytext1">
    <w:name w:val="Body text|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Other1">
    <w:name w:val="Other|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Bodytext2">
    <w:name w:val="Body text|2"/>
    <w:basedOn w:val="a"/>
    <w:qFormat/>
    <w:pPr>
      <w:spacing w:line="736" w:lineRule="exact"/>
      <w:ind w:left="340" w:hanging="340"/>
    </w:pPr>
    <w:rPr>
      <w:rFonts w:ascii="宋体" w:eastAsia="宋体" w:hAnsi="宋体" w:cs="宋体"/>
      <w:sz w:val="28"/>
      <w:szCs w:val="28"/>
      <w:lang w:val="zh-TW" w:eastAsia="zh-TW" w:bidi="zh-TW"/>
    </w:rPr>
  </w:style>
  <w:style w:type="paragraph" w:styleId="a5">
    <w:name w:val="header"/>
    <w:basedOn w:val="a"/>
    <w:link w:val="a6"/>
    <w:rsid w:val="000C24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C2460"/>
    <w:rPr>
      <w:rFonts w:asciiTheme="minorHAnsi" w:eastAsiaTheme="minorEastAsia" w:hAnsiTheme="minorHAnsi" w:cstheme="minorBidi"/>
      <w:kern w:val="2"/>
      <w:sz w:val="18"/>
      <w:szCs w:val="18"/>
    </w:rPr>
  </w:style>
  <w:style w:type="paragraph" w:styleId="a7">
    <w:name w:val="footer"/>
    <w:basedOn w:val="a"/>
    <w:link w:val="a8"/>
    <w:rsid w:val="000C2460"/>
    <w:pPr>
      <w:tabs>
        <w:tab w:val="center" w:pos="4153"/>
        <w:tab w:val="right" w:pos="8306"/>
      </w:tabs>
      <w:snapToGrid w:val="0"/>
      <w:jc w:val="left"/>
    </w:pPr>
    <w:rPr>
      <w:sz w:val="18"/>
      <w:szCs w:val="18"/>
    </w:rPr>
  </w:style>
  <w:style w:type="character" w:customStyle="1" w:styleId="a8">
    <w:name w:val="页脚 字符"/>
    <w:basedOn w:val="a0"/>
    <w:link w:val="a7"/>
    <w:rsid w:val="000C24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146</Words>
  <Characters>837</Characters>
  <Application>Microsoft Office Word</Application>
  <DocSecurity>0</DocSecurity>
  <Lines>6</Lines>
  <Paragraphs>1</Paragraphs>
  <ScaleCrop>false</ScaleCrop>
  <Company>Microsoft</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JC</cp:lastModifiedBy>
  <cp:revision>4</cp:revision>
  <dcterms:created xsi:type="dcterms:W3CDTF">2023-06-25T06:00:00Z</dcterms:created>
  <dcterms:modified xsi:type="dcterms:W3CDTF">2023-06-25T06:12:00Z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