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615DE" w14:textId="77777777" w:rsidR="0053648A" w:rsidRPr="00CD0850" w:rsidRDefault="00A84CF8">
      <w:pPr>
        <w:jc w:val="center"/>
        <w:rPr>
          <w:rFonts w:ascii="宋体" w:eastAsia="宋体" w:hAnsi="宋体" w:cs="方正小标宋简体"/>
          <w:b/>
          <w:bCs/>
          <w:color w:val="000000"/>
          <w:sz w:val="32"/>
          <w:szCs w:val="32"/>
        </w:rPr>
      </w:pPr>
      <w:r w:rsidRPr="00CD0850">
        <w:rPr>
          <w:rFonts w:ascii="宋体" w:eastAsia="宋体" w:hAnsi="宋体" w:cs="方正小标宋简体" w:hint="eastAsia"/>
          <w:b/>
          <w:bCs/>
          <w:color w:val="000000"/>
          <w:sz w:val="32"/>
          <w:szCs w:val="32"/>
        </w:rPr>
        <w:t>清源创新实验室</w:t>
      </w:r>
      <w:r w:rsidR="0062531A" w:rsidRPr="00CD0850">
        <w:rPr>
          <w:rFonts w:ascii="宋体" w:eastAsia="宋体" w:hAnsi="宋体" w:cs="方正小标宋简体" w:hint="eastAsia"/>
          <w:b/>
          <w:bCs/>
          <w:color w:val="000000"/>
          <w:sz w:val="32"/>
          <w:szCs w:val="32"/>
        </w:rPr>
        <w:t>全自动</w:t>
      </w:r>
      <w:proofErr w:type="gramStart"/>
      <w:r w:rsidR="0062531A" w:rsidRPr="00CD0850">
        <w:rPr>
          <w:rFonts w:ascii="宋体" w:eastAsia="宋体" w:hAnsi="宋体" w:cs="方正小标宋简体" w:hint="eastAsia"/>
          <w:b/>
          <w:bCs/>
          <w:color w:val="000000"/>
          <w:sz w:val="32"/>
          <w:szCs w:val="32"/>
        </w:rPr>
        <w:t>烃硫氮</w:t>
      </w:r>
      <w:proofErr w:type="gramEnd"/>
      <w:r w:rsidR="0062531A" w:rsidRPr="00CD0850">
        <w:rPr>
          <w:rFonts w:ascii="宋体" w:eastAsia="宋体" w:hAnsi="宋体" w:cs="方正小标宋简体" w:hint="eastAsia"/>
          <w:b/>
          <w:bCs/>
          <w:color w:val="000000"/>
          <w:sz w:val="32"/>
          <w:szCs w:val="32"/>
        </w:rPr>
        <w:t>分布分析仪</w:t>
      </w:r>
    </w:p>
    <w:p w14:paraId="385D52C1" w14:textId="365D7BE0" w:rsidR="001045C9" w:rsidRPr="00CD0850" w:rsidRDefault="00A84CF8">
      <w:pPr>
        <w:jc w:val="center"/>
        <w:rPr>
          <w:rFonts w:ascii="宋体" w:eastAsia="宋体" w:hAnsi="宋体" w:cs="方正小标宋简体"/>
          <w:b/>
          <w:bCs/>
          <w:color w:val="000000"/>
          <w:sz w:val="32"/>
          <w:szCs w:val="32"/>
        </w:rPr>
      </w:pPr>
      <w:r w:rsidRPr="00CD0850">
        <w:rPr>
          <w:rFonts w:ascii="宋体" w:eastAsia="宋体" w:hAnsi="宋体" w:cs="方正小标宋简体" w:hint="eastAsia"/>
          <w:b/>
          <w:bCs/>
          <w:color w:val="000000"/>
          <w:sz w:val="32"/>
          <w:szCs w:val="32"/>
        </w:rPr>
        <w:t>需求调研情况</w:t>
      </w:r>
    </w:p>
    <w:p w14:paraId="6F3C8BAE" w14:textId="77777777" w:rsidR="001045C9" w:rsidRPr="00CD0850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一、仪器设备使用的项目</w:t>
      </w:r>
    </w:p>
    <w:p w14:paraId="00C77CB0" w14:textId="77EACAE5" w:rsidR="001045C9" w:rsidRPr="00CD0850" w:rsidRDefault="00A05E8E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全</w:t>
      </w:r>
      <w:r w:rsidR="0062531A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自动</w:t>
      </w:r>
      <w:proofErr w:type="gramStart"/>
      <w:r w:rsidR="0062531A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烃硫氮</w:t>
      </w:r>
      <w:proofErr w:type="gramEnd"/>
      <w:r w:rsidR="0062531A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分布分析仪</w:t>
      </w:r>
      <w:r w:rsidR="00A84CF8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适用于分析</w:t>
      </w:r>
      <w:r w:rsidR="00CB0775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油</w:t>
      </w:r>
      <w:r w:rsidR="0062531A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品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中的馏程及硫、氮分布</w:t>
      </w:r>
      <w:r w:rsidR="00A84CF8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  <w:r w:rsidR="004C1597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清源</w:t>
      </w:r>
      <w:r w:rsidR="004C159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创新</w:t>
      </w:r>
      <w:r w:rsidR="004C1597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实验室</w:t>
      </w:r>
      <w:bookmarkStart w:id="0" w:name="_GoBack"/>
      <w:bookmarkEnd w:id="0"/>
      <w:r w:rsidR="00A84CF8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计划购置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全自动烃硫氮分布分析仪</w:t>
      </w:r>
      <w:r w:rsidR="00A84CF8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，主要用于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测定初馏点大于151℃，终馏点小于700℃油品的馏程及硫、氮分布</w:t>
      </w:r>
      <w:r w:rsidR="00A84CF8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，可服务于实验室各相关研究方向，加速催化剂活性评价</w:t>
      </w:r>
      <w:r w:rsidR="00A84CF8" w:rsidRPr="00CD0850">
        <w:rPr>
          <w:rFonts w:ascii="仿宋_GB2312" w:eastAsia="仿宋_GB2312" w:hAnsi="仿宋_GB2312" w:cs="仿宋_GB2312"/>
          <w:color w:val="000000"/>
          <w:sz w:val="28"/>
          <w:szCs w:val="28"/>
        </w:rPr>
        <w:t>及制备</w:t>
      </w:r>
      <w:r w:rsidR="00A84CF8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工艺的优化，推动</w:t>
      </w:r>
      <w:r w:rsidR="00CB0775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脱硫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脱氮</w:t>
      </w:r>
      <w:r w:rsidR="00A84CF8" w:rsidRPr="00CD0850">
        <w:rPr>
          <w:rFonts w:ascii="仿宋_GB2312" w:eastAsia="仿宋_GB2312" w:hAnsi="仿宋_GB2312" w:cs="仿宋_GB2312"/>
          <w:color w:val="000000"/>
          <w:sz w:val="28"/>
          <w:szCs w:val="28"/>
        </w:rPr>
        <w:t>催化剂</w:t>
      </w:r>
      <w:r w:rsidR="00CB0775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和脱硫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脱氮</w:t>
      </w:r>
      <w:r w:rsidR="00CB0775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工艺</w:t>
      </w:r>
      <w:r w:rsidR="00A84CF8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的应用研究进程。</w:t>
      </w:r>
    </w:p>
    <w:p w14:paraId="000723C3" w14:textId="77777777" w:rsidR="001045C9" w:rsidRPr="00CD0850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二、在该项目中所承担的任务</w:t>
      </w:r>
    </w:p>
    <w:p w14:paraId="2CF3AFAE" w14:textId="086A52C7" w:rsidR="001045C9" w:rsidRPr="00CD0850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拟购置的</w:t>
      </w:r>
      <w:r w:rsidR="00A05E8E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全自动</w:t>
      </w:r>
      <w:proofErr w:type="gramStart"/>
      <w:r w:rsidR="00A05E8E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烃硫氮</w:t>
      </w:r>
      <w:proofErr w:type="gramEnd"/>
      <w:r w:rsidR="00A05E8E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分布分析仪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可以分析</w:t>
      </w:r>
      <w:r w:rsidR="00A05E8E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油品中的馏程及硫、氮分布</w:t>
      </w:r>
      <w:r w:rsidRPr="00CD0850">
        <w:rPr>
          <w:rFonts w:ascii="仿宋_GB2312" w:eastAsia="仿宋_GB2312" w:hAnsi="仿宋_GB2312" w:cs="仿宋_GB2312"/>
          <w:color w:val="000000"/>
          <w:sz w:val="28"/>
          <w:szCs w:val="28"/>
        </w:rPr>
        <w:t>，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从而</w:t>
      </w:r>
      <w:r w:rsidRPr="00CD0850">
        <w:rPr>
          <w:rFonts w:ascii="仿宋_GB2312" w:eastAsia="仿宋_GB2312" w:hAnsi="仿宋_GB2312" w:cs="仿宋_GB2312"/>
          <w:color w:val="000000"/>
          <w:sz w:val="28"/>
          <w:szCs w:val="28"/>
        </w:rPr>
        <w:t>确定</w:t>
      </w:r>
      <w:r w:rsidR="00CB0775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不同来源及不同加工工艺的</w:t>
      </w:r>
      <w:r w:rsidR="00A05E8E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油品</w:t>
      </w:r>
      <w:r w:rsidR="00CB0775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中</w:t>
      </w:r>
      <w:r w:rsidR="00447586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</w:t>
      </w:r>
      <w:r w:rsidR="00A05E8E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碳、硫、氮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，满足不同条件下</w:t>
      </w:r>
      <w:r w:rsidR="00447586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对</w:t>
      </w:r>
      <w:r w:rsidR="00AD545C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脱硫</w:t>
      </w:r>
      <w:r w:rsidR="00A05E8E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脱氮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催化剂活性</w:t>
      </w:r>
      <w:r w:rsidR="00447586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及脱硫</w:t>
      </w:r>
      <w:r w:rsidR="00A05E8E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脱氮</w:t>
      </w:r>
      <w:r w:rsidR="00447586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工艺的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评价</w:t>
      </w:r>
      <w:r w:rsidR="00447586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需要，可加速以工业应用研究为目标的</w:t>
      </w:r>
      <w:r w:rsidR="00A05E8E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油品相关</w:t>
      </w:r>
      <w:r w:rsidR="00447586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项目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的研发进程。该设备的购置主要服务于清源</w:t>
      </w:r>
      <w:r w:rsidR="004C159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创新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实验室催化方向所承担</w:t>
      </w:r>
      <w:r w:rsidR="006B0EB8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国家</w:t>
      </w:r>
      <w:r w:rsidR="006B0EB8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省部</w:t>
      </w:r>
      <w:r w:rsidR="006B0EB8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和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企业</w:t>
      </w:r>
      <w:r w:rsidR="006B0EB8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合作项目</w:t>
      </w:r>
      <w:r w:rsidR="006B0EB8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及各类人才的培养。</w:t>
      </w:r>
    </w:p>
    <w:p w14:paraId="1BA78243" w14:textId="4368C0DC" w:rsidR="001045C9" w:rsidRPr="00CD0850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三、国内外同类项目所用的仪器设备及优缺点对比</w:t>
      </w:r>
      <w:r w:rsidR="00CD0850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5"/>
        <w:gridCol w:w="1651"/>
        <w:gridCol w:w="1710"/>
        <w:gridCol w:w="1795"/>
        <w:gridCol w:w="944"/>
        <w:gridCol w:w="2541"/>
      </w:tblGrid>
      <w:tr w:rsidR="001045C9" w:rsidRPr="00817B89" w14:paraId="69D30604" w14:textId="77777777" w:rsidTr="00517FFE">
        <w:trPr>
          <w:trHeight w:hRule="exact" w:val="451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CFBC1" w14:textId="77777777" w:rsidR="001045C9" w:rsidRPr="00CE07DD" w:rsidRDefault="00A84CF8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名称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2C7CF" w14:textId="77777777" w:rsidR="001045C9" w:rsidRPr="00CE07DD" w:rsidRDefault="00A84CF8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型号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8243B" w14:textId="77777777" w:rsidR="001045C9" w:rsidRPr="00CE07DD" w:rsidRDefault="00A84CF8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制造公司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2CD55" w14:textId="77777777" w:rsidR="001045C9" w:rsidRPr="00CE07DD" w:rsidRDefault="00A84CF8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使用单位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BE23C" w14:textId="77777777" w:rsidR="001045C9" w:rsidRPr="00CE07DD" w:rsidRDefault="00A84CF8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购置时间</w:t>
            </w:r>
          </w:p>
        </w:tc>
      </w:tr>
      <w:tr w:rsidR="001045C9" w:rsidRPr="00817B89" w14:paraId="61E27E15" w14:textId="77777777" w:rsidTr="00CE07DD">
        <w:trPr>
          <w:trHeight w:hRule="exact" w:val="1191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64B11" w14:textId="77777777" w:rsidR="00A84524" w:rsidRPr="00CE07DD" w:rsidRDefault="00CE07DD" w:rsidP="00CE07D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20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  <w:sz w:val="18"/>
                <w:szCs w:val="20"/>
              </w:rPr>
              <w:t>荷兰</w:t>
            </w:r>
            <w:r w:rsidRPr="00CE07DD">
              <w:rPr>
                <w:rFonts w:ascii="Times New Roman" w:eastAsiaTheme="minorEastAsia" w:hAnsi="Times New Roman" w:cs="Times New Roman"/>
                <w:color w:val="000000"/>
                <w:sz w:val="18"/>
                <w:szCs w:val="20"/>
              </w:rPr>
              <w:t>AC</w:t>
            </w:r>
          </w:p>
          <w:p w14:paraId="5F9AA8C9" w14:textId="5E299675" w:rsidR="00CE07DD" w:rsidRPr="00CE07DD" w:rsidRDefault="00CE07DD" w:rsidP="00CE07D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20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  <w:sz w:val="18"/>
                <w:szCs w:val="20"/>
              </w:rPr>
              <w:t>石化专用烃硫氮分布分析仪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9FEFC" w14:textId="2A3E1EE0" w:rsidR="001045C9" w:rsidRPr="00CE07DD" w:rsidRDefault="00CE07DD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石化专用烃硫氮分布分析仪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7ECD3" w14:textId="1D081764" w:rsidR="001045C9" w:rsidRPr="00CE07DD" w:rsidRDefault="00CE07DD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荷兰</w:t>
            </w: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AC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54E58" w14:textId="5C371189" w:rsidR="001045C9" w:rsidRPr="00CE07DD" w:rsidRDefault="00CE07DD" w:rsidP="00817B89">
            <w:pPr>
              <w:pStyle w:val="Other1"/>
              <w:adjustRightInd w:val="0"/>
              <w:snapToGrid w:val="0"/>
              <w:spacing w:after="0" w:line="360" w:lineRule="auto"/>
              <w:ind w:firstLine="14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浙江石化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B4AD4" w14:textId="77777777" w:rsidR="001045C9" w:rsidRPr="00CE07DD" w:rsidRDefault="00A84CF8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2021</w:t>
            </w:r>
          </w:p>
        </w:tc>
      </w:tr>
      <w:tr w:rsidR="001045C9" w:rsidRPr="00817B89" w14:paraId="6F6AC7EA" w14:textId="77777777" w:rsidTr="00CE07DD">
        <w:trPr>
          <w:trHeight w:hRule="exact" w:val="907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BC804" w14:textId="57A018DA" w:rsidR="001045C9" w:rsidRPr="00CE07DD" w:rsidRDefault="00CE07DD" w:rsidP="00CE07D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  <w:sz w:val="18"/>
                <w:szCs w:val="20"/>
              </w:rPr>
              <w:t>美国达芬奇</w:t>
            </w:r>
            <w:r w:rsidRPr="00CE07DD">
              <w:rPr>
                <w:rFonts w:ascii="Times New Roman" w:eastAsiaTheme="minorEastAsia" w:hAnsi="Times New Roman" w:cs="Times New Roman"/>
                <w:color w:val="000000"/>
                <w:sz w:val="18"/>
                <w:szCs w:val="20"/>
              </w:rPr>
              <w:t>DVLS-8890-CNS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519DE" w14:textId="52CA8F7D" w:rsidR="001045C9" w:rsidRPr="00CE07DD" w:rsidRDefault="00CE07DD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</w:rPr>
              <w:t>DVLS-8890-CNS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E4060" w14:textId="4FC88A16" w:rsidR="001045C9" w:rsidRPr="00CE07DD" w:rsidRDefault="00CE07DD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美国达芬奇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87DD6" w14:textId="0DF0D2BD" w:rsidR="001045C9" w:rsidRPr="00CE07DD" w:rsidRDefault="00CE07DD" w:rsidP="00817B89">
            <w:pPr>
              <w:pStyle w:val="Other1"/>
              <w:adjustRightInd w:val="0"/>
              <w:snapToGrid w:val="0"/>
              <w:spacing w:after="0" w:line="360" w:lineRule="auto"/>
              <w:ind w:firstLine="140"/>
              <w:jc w:val="center"/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中国石化齐鲁研究院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06837" w14:textId="1025A474" w:rsidR="001045C9" w:rsidRPr="00CE07DD" w:rsidRDefault="00CE07DD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lang w:eastAsia="zh-CN"/>
              </w:rPr>
              <w:t>2021</w:t>
            </w:r>
          </w:p>
        </w:tc>
      </w:tr>
      <w:tr w:rsidR="00BC4930" w:rsidRPr="00817B89" w14:paraId="6D0E8541" w14:textId="77777777" w:rsidTr="00BC4930">
        <w:trPr>
          <w:trHeight w:hRule="exact" w:val="40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140C5" w14:textId="7A4A27C3" w:rsidR="00BC4930" w:rsidRPr="00CE07DD" w:rsidRDefault="00BC4930" w:rsidP="00817B8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/>
              </w:rPr>
              <w:t>优缺点对比</w:t>
            </w:r>
          </w:p>
        </w:tc>
      </w:tr>
      <w:tr w:rsidR="00BC4930" w:rsidRPr="00817B89" w14:paraId="2023FADE" w14:textId="77777777" w:rsidTr="00BC4930">
        <w:trPr>
          <w:trHeight w:hRule="exact" w:val="390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AF796" w14:textId="77777777" w:rsidR="00BC4930" w:rsidRPr="00CE07DD" w:rsidRDefault="00BC4930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品牌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121BD" w14:textId="77777777" w:rsidR="00BC4930" w:rsidRPr="00CE07DD" w:rsidRDefault="00BC4930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优点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90225" w14:textId="77777777" w:rsidR="00BC4930" w:rsidRPr="00CE07DD" w:rsidRDefault="00BC4930" w:rsidP="00817B89">
            <w:pPr>
              <w:pStyle w:val="Other1"/>
              <w:adjustRightInd w:val="0"/>
              <w:snapToGri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缺点</w:t>
            </w:r>
          </w:p>
        </w:tc>
      </w:tr>
      <w:tr w:rsidR="005A13DB" w:rsidRPr="00817B89" w14:paraId="3E92C622" w14:textId="77777777" w:rsidTr="005A13DB">
        <w:trPr>
          <w:trHeight w:val="709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A8B8F" w14:textId="77777777" w:rsidR="005A13DB" w:rsidRPr="00CE07DD" w:rsidRDefault="005A13DB" w:rsidP="005A13DB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20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  <w:sz w:val="18"/>
                <w:szCs w:val="20"/>
              </w:rPr>
              <w:t>荷兰</w:t>
            </w:r>
            <w:r w:rsidRPr="00CE07DD">
              <w:rPr>
                <w:rFonts w:ascii="Times New Roman" w:eastAsiaTheme="minorEastAsia" w:hAnsi="Times New Roman" w:cs="Times New Roman"/>
                <w:color w:val="000000"/>
                <w:sz w:val="18"/>
                <w:szCs w:val="20"/>
              </w:rPr>
              <w:t>AC</w:t>
            </w:r>
          </w:p>
          <w:p w14:paraId="1F5BDDAF" w14:textId="0598BF00" w:rsidR="005A13DB" w:rsidRPr="00CE07DD" w:rsidRDefault="005A13DB" w:rsidP="005A13DB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highlight w:val="yellow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  <w:sz w:val="18"/>
                <w:szCs w:val="20"/>
              </w:rPr>
              <w:t>石化专用烃硫氮分布分析仪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43D8C" w14:textId="711777FE" w:rsidR="005A13DB" w:rsidRPr="00CE07DD" w:rsidRDefault="005A13DB" w:rsidP="005A13DB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highlight w:val="yellow"/>
                <w:lang w:eastAsia="zh-CN"/>
              </w:rPr>
            </w:pPr>
            <w:r w:rsidRPr="00C44137">
              <w:rPr>
                <w:rFonts w:ascii="Times New Roman" w:eastAsiaTheme="minorEastAsia" w:hAnsi="Times New Roman" w:cs="Times New Roman" w:hint="eastAsia"/>
                <w:color w:val="000000"/>
                <w:lang w:eastAsia="zh-CN"/>
              </w:rPr>
              <w:t>馏程范围大，载气流量大，配备</w:t>
            </w:r>
            <w:r w:rsidRPr="00C44137">
              <w:rPr>
                <w:rFonts w:ascii="Times New Roman" w:eastAsiaTheme="minorEastAsia" w:hAnsi="Times New Roman" w:cs="Times New Roman" w:hint="eastAsia"/>
                <w:color w:val="000000"/>
                <w:lang w:eastAsia="zh-CN"/>
              </w:rPr>
              <w:t>C</w:t>
            </w:r>
            <w:r w:rsidRPr="00C44137">
              <w:rPr>
                <w:rFonts w:ascii="Times New Roman" w:eastAsia="PMingLiU" w:hAnsi="Times New Roman" w:cs="Times New Roman"/>
                <w:color w:val="000000"/>
              </w:rPr>
              <w:t>OC</w:t>
            </w:r>
            <w:r w:rsidRPr="00C44137">
              <w:rPr>
                <w:rFonts w:asciiTheme="minorEastAsia" w:eastAsiaTheme="minorEastAsia" w:hAnsiTheme="minorEastAsia" w:cs="Times New Roman" w:hint="eastAsia"/>
                <w:color w:val="000000"/>
                <w:lang w:eastAsia="zh-CN"/>
              </w:rPr>
              <w:t>进样口，配备</w:t>
            </w:r>
            <w:r w:rsidRPr="00C44137">
              <w:rPr>
                <w:rFonts w:ascii="Times New Roman" w:eastAsiaTheme="minorEastAsia" w:hAnsi="Times New Roman" w:cs="Times New Roman" w:hint="eastAsia"/>
                <w:color w:val="000000"/>
                <w:lang w:eastAsia="zh-CN"/>
              </w:rPr>
              <w:t>C</w:t>
            </w:r>
            <w:r w:rsidRPr="00C44137">
              <w:rPr>
                <w:rFonts w:ascii="Times New Roman" w:eastAsia="PMingLiU" w:hAnsi="Times New Roman" w:cs="Times New Roman"/>
                <w:color w:val="000000"/>
              </w:rPr>
              <w:t>NS</w:t>
            </w:r>
            <w:r w:rsidRPr="00C44137">
              <w:rPr>
                <w:rFonts w:asciiTheme="minorEastAsia" w:eastAsiaTheme="minorEastAsia" w:hAnsiTheme="minorEastAsia" w:cs="Times New Roman" w:hint="eastAsia"/>
                <w:color w:val="000000"/>
                <w:lang w:eastAsia="zh-CN"/>
              </w:rPr>
              <w:t>分布最新专用数据库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EF326" w14:textId="2C632F74" w:rsidR="005A13DB" w:rsidRPr="00CE07DD" w:rsidRDefault="005A13DB" w:rsidP="005A13DB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lang w:eastAsia="zh-CN"/>
              </w:rPr>
              <w:t>价格偏高</w:t>
            </w:r>
          </w:p>
        </w:tc>
      </w:tr>
      <w:tr w:rsidR="005A13DB" w:rsidRPr="00817B89" w14:paraId="746A7E61" w14:textId="77777777" w:rsidTr="005A13DB">
        <w:trPr>
          <w:trHeight w:val="709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7CB37" w14:textId="4FE41281" w:rsidR="005A13DB" w:rsidRPr="00CE07DD" w:rsidRDefault="005A13DB" w:rsidP="005A13DB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  <w:sz w:val="18"/>
                <w:szCs w:val="20"/>
              </w:rPr>
              <w:t>美国达芬奇</w:t>
            </w:r>
            <w:r w:rsidRPr="00CE07DD">
              <w:rPr>
                <w:rFonts w:ascii="Times New Roman" w:eastAsiaTheme="minorEastAsia" w:hAnsi="Times New Roman" w:cs="Times New Roman"/>
                <w:color w:val="000000"/>
                <w:sz w:val="18"/>
                <w:szCs w:val="20"/>
              </w:rPr>
              <w:t>DVLS-8890-CNS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BADAF" w14:textId="7420496F" w:rsidR="005A13DB" w:rsidRPr="00CE07DD" w:rsidRDefault="005A13DB" w:rsidP="005A13DB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highlight w:val="yellow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lang w:eastAsia="zh-CN"/>
              </w:rPr>
              <w:t>价格便宜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62BC9" w14:textId="15AE0E6E" w:rsidR="005A13DB" w:rsidRPr="00CE07DD" w:rsidRDefault="005A13DB" w:rsidP="005A13DB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lang w:eastAsia="zh-CN"/>
              </w:rPr>
              <w:t>馏程范围和载气流量受限</w:t>
            </w:r>
          </w:p>
        </w:tc>
      </w:tr>
      <w:tr w:rsidR="00CE07DD" w:rsidRPr="00817B89" w14:paraId="43CCCC4D" w14:textId="77777777" w:rsidTr="00517FFE">
        <w:trPr>
          <w:trHeight w:hRule="exact" w:val="50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FF6D2" w14:textId="2C23C5A0" w:rsidR="00CE07DD" w:rsidRPr="00CE07DD" w:rsidRDefault="00CE07DD" w:rsidP="0012530D">
            <w:pPr>
              <w:pStyle w:val="Other1"/>
              <w:spacing w:after="0" w:line="36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lastRenderedPageBreak/>
              <w:t>同类项目所用仪器设备的优缺点</w:t>
            </w:r>
          </w:p>
        </w:tc>
      </w:tr>
      <w:tr w:rsidR="00CE07DD" w:rsidRPr="00817B89" w14:paraId="75F08873" w14:textId="77777777" w:rsidTr="00CE07DD">
        <w:trPr>
          <w:trHeight w:hRule="exact" w:val="794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6831C" w14:textId="77777777" w:rsidR="00CE07DD" w:rsidRPr="00CE07DD" w:rsidRDefault="00CE07DD" w:rsidP="00CE07D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类别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09A8C" w14:textId="77777777" w:rsidR="00CE07DD" w:rsidRPr="00CE07DD" w:rsidRDefault="00CE07DD" w:rsidP="00CE07D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项目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2BF81" w14:textId="77777777" w:rsidR="00CE07DD" w:rsidRPr="00CE07DD" w:rsidRDefault="00CE07DD" w:rsidP="00CE07D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荷兰</w:t>
            </w: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AC</w:t>
            </w:r>
          </w:p>
          <w:p w14:paraId="1055AA61" w14:textId="36A511A5" w:rsidR="00CE07DD" w:rsidRPr="00CE07DD" w:rsidRDefault="00CE07DD" w:rsidP="00CE07D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石化专用烃硫氮分布分析仪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8CBFC" w14:textId="77777777" w:rsidR="00CE07DD" w:rsidRPr="00CE07DD" w:rsidRDefault="00CE07DD" w:rsidP="00CE07D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美国达芬奇</w:t>
            </w:r>
          </w:p>
          <w:p w14:paraId="67745BBE" w14:textId="116FA898" w:rsidR="00CE07DD" w:rsidRPr="00CE07DD" w:rsidRDefault="00CE07DD" w:rsidP="00CE07D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highlight w:val="yellow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DVLS-8890-CNS</w:t>
            </w:r>
          </w:p>
        </w:tc>
      </w:tr>
      <w:tr w:rsidR="00CE07DD" w:rsidRPr="00817B89" w14:paraId="4DD340ED" w14:textId="77777777" w:rsidTr="00817B89">
        <w:trPr>
          <w:trHeight w:val="20"/>
          <w:jc w:val="center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03A77" w14:textId="77777777" w:rsidR="00CE07DD" w:rsidRPr="00CE07DD" w:rsidRDefault="00CE07DD" w:rsidP="00CE07DD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主要性能</w:t>
            </w:r>
          </w:p>
          <w:p w14:paraId="52075BB4" w14:textId="17CF9D55" w:rsidR="00CE07DD" w:rsidRPr="00CE07DD" w:rsidRDefault="00CE07DD" w:rsidP="00CE07DD">
            <w:pPr>
              <w:pStyle w:val="Other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指标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5E320" w14:textId="5F81EDF5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05E8E">
              <w:rPr>
                <w:rFonts w:ascii="Times New Roman" w:hAnsi="Times New Roman" w:cs="Times New Roman"/>
                <w:sz w:val="22"/>
                <w:szCs w:val="22"/>
              </w:rPr>
              <w:t>应用范围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7418E" w14:textId="1692A8DF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馏程范围在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151 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position w:val="7"/>
                <w:sz w:val="22"/>
                <w:szCs w:val="22"/>
                <w:vertAlign w:val="superscript"/>
              </w:rPr>
              <w:t>o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C ~ 700 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position w:val="7"/>
                <w:sz w:val="22"/>
                <w:szCs w:val="22"/>
                <w:vertAlign w:val="superscript"/>
              </w:rPr>
              <w:t>o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C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的油品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AB309" w14:textId="136536D3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初馏点到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615</w:t>
            </w:r>
            <w:r w:rsidRPr="00CE07DD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2"/>
                <w:szCs w:val="22"/>
              </w:rPr>
              <w:t>˚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C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蜡油、润滑油等馏分</w:t>
            </w:r>
          </w:p>
        </w:tc>
      </w:tr>
      <w:tr w:rsidR="00CE07DD" w:rsidRPr="00817B89" w14:paraId="5FF9F948" w14:textId="77777777" w:rsidTr="006C664E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6EAA13" w14:textId="4BAB4198" w:rsidR="00CE07DD" w:rsidRPr="00CE07DD" w:rsidRDefault="00CE07DD" w:rsidP="00CE07DD">
            <w:pPr>
              <w:pStyle w:val="Other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F7CE8" w14:textId="2CF4FEE4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GC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平台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7C099" w14:textId="4DE33A2F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8890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主机平台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49235" w14:textId="213BF03F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8890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主机平台</w:t>
            </w:r>
          </w:p>
        </w:tc>
      </w:tr>
      <w:tr w:rsidR="00CE07DD" w:rsidRPr="00817B89" w14:paraId="44A5C6C6" w14:textId="77777777" w:rsidTr="006C664E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DD2D14" w14:textId="5F39E0B9" w:rsidR="00CE07DD" w:rsidRPr="00CE07DD" w:rsidRDefault="00CE07DD" w:rsidP="00CE07DD">
            <w:pPr>
              <w:pStyle w:val="Other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71DA7" w14:textId="137C6C31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柱温箱程序</w:t>
            </w:r>
            <w:proofErr w:type="gramEnd"/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升温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94AC9" w14:textId="274F5C55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20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阶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21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平台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6E6EB" w14:textId="2A95FC20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20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阶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21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平台</w:t>
            </w:r>
          </w:p>
        </w:tc>
      </w:tr>
      <w:tr w:rsidR="00CE07DD" w:rsidRPr="00817B89" w14:paraId="216D0C2E" w14:textId="77777777" w:rsidTr="006C664E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2E370D" w14:textId="43BBC37E" w:rsidR="00CE07DD" w:rsidRPr="00CE07DD" w:rsidRDefault="00CE07DD" w:rsidP="00CE07DD">
            <w:pPr>
              <w:pStyle w:val="Other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2906B" w14:textId="56F629E5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压力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B102B" w14:textId="3CB220F7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0~100psi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；压力控制精度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0.001psi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81D68" w14:textId="18A7775A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0~100psi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；压力控制精度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0.001psi</w:t>
            </w:r>
          </w:p>
        </w:tc>
      </w:tr>
      <w:tr w:rsidR="00CE07DD" w:rsidRPr="00817B89" w14:paraId="5DB3EE91" w14:textId="77777777" w:rsidTr="006C664E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78FBAD" w14:textId="167FF0C2" w:rsidR="00CE07DD" w:rsidRPr="00CE07DD" w:rsidRDefault="00CE07DD" w:rsidP="00CE07DD">
            <w:pPr>
              <w:pStyle w:val="Other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C1A2E" w14:textId="6B9A8671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使用温度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513C7" w14:textId="63444144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室温以上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4</w:t>
            </w:r>
            <w:r w:rsidR="00A05E8E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~</w:t>
            </w:r>
            <w:r w:rsidR="00A05E8E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450</w:t>
            </w:r>
            <w:r w:rsidR="00AE442E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℃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，温度分辨率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0.1</w:t>
            </w:r>
            <w:r w:rsidR="00AE442E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℃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4948E" w14:textId="6C208E46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室温以上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4</w:t>
            </w:r>
            <w:r w:rsidR="00A05E8E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~</w:t>
            </w:r>
            <w:r w:rsidR="00A05E8E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45</w:t>
            </w:r>
            <w:r w:rsidR="00AE442E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0</w:t>
            </w:r>
            <w:r w:rsidR="00AE442E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℃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，温度分辨率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0.1</w:t>
            </w:r>
            <w:r w:rsidR="00AE442E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℃</w:t>
            </w:r>
          </w:p>
        </w:tc>
      </w:tr>
      <w:tr w:rsidR="00CE07DD" w:rsidRPr="00817B89" w14:paraId="57354993" w14:textId="77777777" w:rsidTr="006C664E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D4087E" w14:textId="3C26385D" w:rsidR="00CE07DD" w:rsidRPr="00CE07DD" w:rsidRDefault="00CE07DD" w:rsidP="00CE07DD">
            <w:pPr>
              <w:pStyle w:val="Other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9F1F" w14:textId="29B77D02" w:rsidR="00CE07DD" w:rsidRPr="00A05E8E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E8E">
              <w:rPr>
                <w:rFonts w:ascii="Times New Roman" w:hAnsi="Times New Roman" w:cs="Times New Roman"/>
                <w:sz w:val="22"/>
                <w:szCs w:val="22"/>
              </w:rPr>
              <w:t>最大载气流量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31777" w14:textId="7F438FDD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200mL/min N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position w:val="-6"/>
                <w:sz w:val="22"/>
                <w:szCs w:val="22"/>
                <w:vertAlign w:val="subscript"/>
              </w:rPr>
              <w:t>2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，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1250mL/min H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position w:val="-6"/>
                <w:sz w:val="22"/>
                <w:szCs w:val="22"/>
                <w:vertAlign w:val="subscript"/>
              </w:rPr>
              <w:t>2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或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He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81AB4" w14:textId="5DF2FED4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100mL/min </w:t>
            </w:r>
          </w:p>
        </w:tc>
      </w:tr>
      <w:tr w:rsidR="00CE07DD" w:rsidRPr="00817B89" w14:paraId="28CF48F1" w14:textId="77777777" w:rsidTr="006C664E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54729B" w14:textId="4F784286" w:rsidR="00CE07DD" w:rsidRPr="00CE07DD" w:rsidRDefault="00CE07DD" w:rsidP="00CE07DD">
            <w:pPr>
              <w:pStyle w:val="Other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D74DB" w14:textId="4E26FA6F" w:rsidR="00CE07DD" w:rsidRPr="00A05E8E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05E8E">
              <w:rPr>
                <w:rFonts w:ascii="Times New Roman" w:hAnsi="Times New Roman" w:cs="Times New Roman"/>
                <w:sz w:val="22"/>
                <w:szCs w:val="22"/>
              </w:rPr>
              <w:t>柱箱降温</w:t>
            </w:r>
            <w:proofErr w:type="gramEnd"/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8D983" w14:textId="486251FC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450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position w:val="7"/>
                <w:sz w:val="22"/>
                <w:szCs w:val="22"/>
                <w:vertAlign w:val="superscript"/>
              </w:rPr>
              <w:t>o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C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降到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50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position w:val="7"/>
                <w:sz w:val="22"/>
                <w:szCs w:val="22"/>
                <w:vertAlign w:val="superscript"/>
              </w:rPr>
              <w:t>o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C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，不超过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4min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D5C6C" w14:textId="7EF00C55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从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400</w:t>
            </w:r>
            <w:r w:rsidRPr="00CE07DD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2"/>
                <w:szCs w:val="22"/>
              </w:rPr>
              <w:t>˚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C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降至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50</w:t>
            </w:r>
            <w:r w:rsidRPr="00CE07DD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2"/>
                <w:szCs w:val="22"/>
              </w:rPr>
              <w:t>˚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C&lt; 4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分钟</w:t>
            </w:r>
          </w:p>
        </w:tc>
      </w:tr>
      <w:tr w:rsidR="00CE07DD" w:rsidRPr="00817B89" w14:paraId="25194348" w14:textId="77777777" w:rsidTr="006C664E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934186" w14:textId="73F83CE6" w:rsidR="00CE07DD" w:rsidRPr="00CE07DD" w:rsidRDefault="00CE07DD" w:rsidP="00CE07DD">
            <w:pPr>
              <w:pStyle w:val="Other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58DC4" w14:textId="5A160646" w:rsidR="00CE07DD" w:rsidRPr="00A05E8E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E8E">
              <w:rPr>
                <w:rFonts w:ascii="Times New Roman" w:hAnsi="Times New Roman" w:cs="Times New Roman"/>
                <w:sz w:val="22"/>
                <w:szCs w:val="22"/>
              </w:rPr>
              <w:t>最高升温速度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C7B1D" w14:textId="19FB8CC4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120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position w:val="7"/>
                <w:sz w:val="22"/>
                <w:szCs w:val="22"/>
                <w:vertAlign w:val="superscript"/>
              </w:rPr>
              <w:t>o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C/min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BB206" w14:textId="6253ECCE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120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position w:val="7"/>
                <w:sz w:val="22"/>
                <w:szCs w:val="22"/>
                <w:vertAlign w:val="superscript"/>
              </w:rPr>
              <w:t>o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C/min</w:t>
            </w:r>
          </w:p>
        </w:tc>
      </w:tr>
      <w:tr w:rsidR="00CE07DD" w:rsidRPr="00817B89" w14:paraId="7D9FA900" w14:textId="77777777" w:rsidTr="006C664E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36F659" w14:textId="3BD5A938" w:rsidR="00CE07DD" w:rsidRPr="00CE07DD" w:rsidRDefault="00CE07DD" w:rsidP="00CE07DD">
            <w:pPr>
              <w:pStyle w:val="Other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5A254" w14:textId="48B07E1E" w:rsidR="00CE07DD" w:rsidRPr="00A05E8E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E8E">
              <w:rPr>
                <w:rFonts w:ascii="Times New Roman" w:hAnsi="Times New Roman" w:cs="Times New Roman"/>
                <w:sz w:val="22"/>
                <w:szCs w:val="22"/>
              </w:rPr>
              <w:t>温度稳定性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13CDE" w14:textId="2CB71E7F" w:rsidR="00CE07DD" w:rsidRPr="00CE07DD" w:rsidRDefault="00CE07DD" w:rsidP="00AE442E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周围温度每变化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</w:t>
            </w:r>
            <w:r w:rsidR="00AE442E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℃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，</w:t>
            </w:r>
            <w:proofErr w:type="gramStart"/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柱箱温度</w:t>
            </w:r>
            <w:proofErr w:type="gramEnd"/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变化小于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0.01</w:t>
            </w:r>
            <w:r w:rsidR="00AE442E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℃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8EE01" w14:textId="2B127E07" w:rsidR="00CE07DD" w:rsidRPr="00CE07DD" w:rsidRDefault="00CE07DD" w:rsidP="00AE442E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周围温度每变化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</w:t>
            </w:r>
            <w:r w:rsidR="00AE442E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℃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，</w:t>
            </w:r>
            <w:proofErr w:type="gramStart"/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柱箱温度</w:t>
            </w:r>
            <w:proofErr w:type="gramEnd"/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变化小于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0.01</w:t>
            </w:r>
            <w:r w:rsidR="00AE442E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  <w:sz w:val="22"/>
                <w:szCs w:val="22"/>
              </w:rPr>
              <w:t>℃</w:t>
            </w:r>
          </w:p>
        </w:tc>
      </w:tr>
      <w:tr w:rsidR="00CE07DD" w:rsidRPr="00817B89" w14:paraId="5515D2DC" w14:textId="77777777" w:rsidTr="006C664E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DE0159" w14:textId="6FBF4119" w:rsidR="00CE07DD" w:rsidRPr="00CE07DD" w:rsidRDefault="00CE07DD" w:rsidP="00CE07DD">
            <w:pPr>
              <w:pStyle w:val="Other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67785" w14:textId="02ED2488" w:rsidR="00CE07DD" w:rsidRPr="00A05E8E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E8E">
              <w:rPr>
                <w:rFonts w:ascii="Times New Roman" w:hAnsi="Times New Roman" w:cs="Times New Roman"/>
                <w:sz w:val="22"/>
                <w:szCs w:val="22"/>
              </w:rPr>
              <w:t>进样口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3E807" w14:textId="5E9F2B6E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COC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进样口；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独特的隔垫吹扫，保证高沸点样品无残留干扰分析运行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95605" w14:textId="1B51F362" w:rsidR="00CE07DD" w:rsidRPr="00CE07DD" w:rsidRDefault="00CE07DD" w:rsidP="00CE07D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高温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PTI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专用进样口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(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带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EPC)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（程序温度进样口）；特质银质密封垫圈，使系统的密封效果更佳，延长了色谱柱的使用寿命</w:t>
            </w:r>
          </w:p>
        </w:tc>
      </w:tr>
      <w:tr w:rsidR="00CE07DD" w:rsidRPr="00817B89" w14:paraId="40D7748D" w14:textId="77777777" w:rsidTr="006C664E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FA35B4" w14:textId="7FB301A0" w:rsidR="00CE07DD" w:rsidRPr="00CE07DD" w:rsidRDefault="00CE07DD" w:rsidP="00CE07DD">
            <w:pPr>
              <w:pStyle w:val="Other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AE361" w14:textId="31F2A79B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进样器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C0A2B" w14:textId="77777777" w:rsidR="00A05E8E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16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位轻溶剂优化的自动进样器，有效降低样品盘和进样针温度，保证分析重现性；</w:t>
            </w:r>
          </w:p>
          <w:p w14:paraId="4514B735" w14:textId="64212CAE" w:rsidR="00CE07DD" w:rsidRPr="00CE07DD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可兼容两个自动进样器；可改变进样速度，最高可达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100ms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</w:t>
            </w:r>
          </w:p>
          <w:p w14:paraId="6221C16D" w14:textId="46C5342F" w:rsidR="00CE07DD" w:rsidRPr="00CE07DD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可另外扩充为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150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个瓶或更多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2F4C2" w14:textId="77777777" w:rsidR="00A05E8E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16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位自动液体进样器（含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16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个样品位，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3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个清洗位）；</w:t>
            </w:r>
          </w:p>
          <w:p w14:paraId="3D55A668" w14:textId="77777777" w:rsidR="00A05E8E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带光电传感器，自动锁定进样位置；</w:t>
            </w:r>
          </w:p>
          <w:p w14:paraId="6C1C1EC8" w14:textId="77777777" w:rsidR="00A05E8E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进样前后可以分别用两种不同溶剂清洗针头；</w:t>
            </w:r>
          </w:p>
          <w:p w14:paraId="44064D7C" w14:textId="19DDC6B0" w:rsidR="00CE07DD" w:rsidRPr="00CE07DD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可兼容两个自动进样器</w:t>
            </w:r>
          </w:p>
        </w:tc>
      </w:tr>
      <w:tr w:rsidR="00CE07DD" w:rsidRPr="00817B89" w14:paraId="514A89D7" w14:textId="77777777" w:rsidTr="006C664E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5B922A" w14:textId="6ADD8FD6" w:rsidR="00CE07DD" w:rsidRPr="00CE07DD" w:rsidRDefault="00CE07DD" w:rsidP="00CE07DD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30537" w14:textId="33DE47D5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FID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检测器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35C84" w14:textId="77777777" w:rsidR="00CE07DD" w:rsidRPr="00CB1C2B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检测限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&lt;1.2pg C/s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</w:t>
            </w:r>
          </w:p>
          <w:p w14:paraId="325127DE" w14:textId="77777777" w:rsidR="00CE07DD" w:rsidRPr="00CB1C2B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最高温度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450</w:t>
            </w:r>
            <w:r w:rsidRPr="00CB1C2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o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C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</w:t>
            </w:r>
          </w:p>
          <w:p w14:paraId="6E734969" w14:textId="77777777" w:rsidR="00CE07DD" w:rsidRPr="00CB1C2B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线性动态范围＞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10</w:t>
            </w:r>
            <w:r w:rsidRPr="00CB1C2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7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</w:t>
            </w:r>
          </w:p>
          <w:p w14:paraId="57D43236" w14:textId="77777777" w:rsidR="00CE07DD" w:rsidRPr="00CB1C2B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数据采集速率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1000Hz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</w:t>
            </w:r>
          </w:p>
          <w:p w14:paraId="46EBCC0C" w14:textId="02971F35" w:rsidR="00CE07DD" w:rsidRPr="00CE07DD" w:rsidRDefault="00CE07DD" w:rsidP="00CB1C2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1C2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灭火自动检测和自动重新点火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A2B46" w14:textId="77777777" w:rsidR="00CE07DD" w:rsidRPr="00E56609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检测限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&lt;1.2pg C/s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</w:t>
            </w:r>
          </w:p>
          <w:p w14:paraId="32EAEE07" w14:textId="77777777" w:rsidR="00CE07DD" w:rsidRPr="00E56609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最高温度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450</w:t>
            </w:r>
            <w:r w:rsidRPr="00E56609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o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C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</w:t>
            </w:r>
          </w:p>
          <w:p w14:paraId="79BA54F6" w14:textId="77777777" w:rsidR="00CE07DD" w:rsidRPr="00E56609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线性动态范围＞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10</w:t>
            </w:r>
            <w:r w:rsidRPr="00E56609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7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</w:t>
            </w:r>
          </w:p>
          <w:p w14:paraId="7C5A5A13" w14:textId="77777777" w:rsidR="00CE07DD" w:rsidRPr="00E56609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数据采集速率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1000Hz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</w:t>
            </w:r>
          </w:p>
          <w:p w14:paraId="15008DBF" w14:textId="313E7CB8" w:rsidR="00CE07DD" w:rsidRPr="00CE07DD" w:rsidRDefault="00CE07DD" w:rsidP="00E5660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56609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灭火自动检测和自动重新点火</w:t>
            </w:r>
          </w:p>
        </w:tc>
      </w:tr>
      <w:tr w:rsidR="00CE07DD" w:rsidRPr="00817B89" w14:paraId="785EFCBB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96D273" w14:textId="77777777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45B59" w14:textId="47FB28F0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化学发光硫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氮检测器（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SCD/NCD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C84A7" w14:textId="77777777" w:rsidR="00A05E8E" w:rsidRPr="00F37871" w:rsidRDefault="00CE07DD" w:rsidP="00F37871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F37871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对所有硫化物及氮化物均为等摩尔响应；</w:t>
            </w:r>
          </w:p>
          <w:p w14:paraId="6F983A05" w14:textId="77777777" w:rsidR="00A05E8E" w:rsidRPr="00F37871" w:rsidRDefault="00CE07DD" w:rsidP="00F37871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F37871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线性动态范围：</w:t>
            </w:r>
            <w:r w:rsidRPr="00F37871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104</w:t>
            </w:r>
            <w:r w:rsidRPr="00F37871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</w:t>
            </w:r>
          </w:p>
          <w:p w14:paraId="41BE51BC" w14:textId="77777777" w:rsidR="00A05E8E" w:rsidRPr="00F37871" w:rsidRDefault="00CE07DD" w:rsidP="00F37871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F37871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双垂直燃烧炉，双通道检测器（包含</w:t>
            </w:r>
            <w:r w:rsidRPr="00F37871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SCD</w:t>
            </w:r>
            <w:r w:rsidRPr="00F37871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及</w:t>
            </w:r>
            <w:r w:rsidRPr="00F37871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NCD</w:t>
            </w:r>
            <w:r w:rsidRPr="00F37871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）；</w:t>
            </w:r>
          </w:p>
          <w:p w14:paraId="1F207700" w14:textId="77777777" w:rsidR="00A05E8E" w:rsidRDefault="00CE07DD" w:rsidP="00A05E8E"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硫含量范围：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50-50000ppm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，氮含量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范围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100-50000ppm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；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067AC3E5" w14:textId="77777777" w:rsidR="00A05E8E" w:rsidRDefault="00CE07DD" w:rsidP="00A05E8E"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智能化气路分流器；</w:t>
            </w:r>
          </w:p>
          <w:p w14:paraId="2D3B0921" w14:textId="77777777" w:rsidR="00A05E8E" w:rsidRDefault="00CE07DD" w:rsidP="00A05E8E"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无需关机即可更换陶瓷管；</w:t>
            </w:r>
          </w:p>
          <w:p w14:paraId="60EA730B" w14:textId="77777777" w:rsidR="00A05E8E" w:rsidRDefault="00CE07DD" w:rsidP="00A05E8E"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检测器采用无油泵，无异味；</w:t>
            </w:r>
          </w:p>
          <w:p w14:paraId="74012970" w14:textId="4CD9F720" w:rsidR="00CE07DD" w:rsidRPr="00CE07DD" w:rsidRDefault="00CE07DD" w:rsidP="00A05E8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硫通道可以采用空气作为燃烧气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1BA32" w14:textId="1744B0F8" w:rsidR="00A05E8E" w:rsidRPr="00F37871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lastRenderedPageBreak/>
              <w:t>对含硫化合物具有极高的灵敏度和选择性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MDL: &lt; 0.5 </w:t>
            </w:r>
            <w:proofErr w:type="spellStart"/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pg</w:t>
            </w:r>
            <w:proofErr w:type="spellEnd"/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/s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</w:t>
            </w:r>
          </w:p>
          <w:p w14:paraId="6AAD945C" w14:textId="77777777" w:rsidR="00A05E8E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线性动态范围：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&gt; 10</w:t>
            </w:r>
            <w:r w:rsidRPr="00F37871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4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</w:t>
            </w:r>
          </w:p>
          <w:p w14:paraId="40D21188" w14:textId="1E20C836" w:rsidR="00CE07DD" w:rsidRPr="00F37871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选择性：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&gt; 2 × 10</w:t>
            </w:r>
            <w:r w:rsidRPr="00F37871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7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g S/g C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</w:t>
            </w:r>
          </w:p>
          <w:p w14:paraId="2F337521" w14:textId="384B85E8" w:rsidR="00A05E8E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lastRenderedPageBreak/>
              <w:t>对含氮化合物具有高选择性；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MDL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：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&lt; 3 </w:t>
            </w:r>
            <w:proofErr w:type="spellStart"/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pg</w:t>
            </w:r>
            <w:proofErr w:type="spellEnd"/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N/s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，线性动态范围：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&gt; 10</w:t>
            </w:r>
            <w:r w:rsidRPr="00F37871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4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；</w:t>
            </w:r>
          </w:p>
          <w:p w14:paraId="6882AE20" w14:textId="229E5519" w:rsidR="00CE07DD" w:rsidRPr="00F37871" w:rsidRDefault="00CE07DD" w:rsidP="00A05E8E">
            <w:pPr>
              <w:pStyle w:val="a3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选择性：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&gt;2×10</w:t>
            </w:r>
            <w:r w:rsidRPr="00F37871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>7</w:t>
            </w:r>
            <w:r w:rsidRPr="00CE07D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g N/g C</w:t>
            </w:r>
          </w:p>
        </w:tc>
      </w:tr>
      <w:tr w:rsidR="00CE07DD" w:rsidRPr="00817B89" w14:paraId="60CB2A20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127C7B" w14:textId="77777777" w:rsidR="00CE07DD" w:rsidRPr="00CE07DD" w:rsidRDefault="00CE07DD" w:rsidP="00CE07D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E5FEA" w14:textId="4301BE6B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标样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256C4" w14:textId="6543D4C5" w:rsidR="00CE07DD" w:rsidRPr="001C0433" w:rsidRDefault="00CE07DD" w:rsidP="001C0433"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随机配备</w:t>
            </w:r>
            <w:proofErr w:type="gramStart"/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进口全</w:t>
            </w:r>
            <w:proofErr w:type="gramEnd"/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量程的校正样品和参考样品，确保实验数据准确可靠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59B14" w14:textId="075767D3" w:rsidR="00CE07DD" w:rsidRPr="00323519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硫氮分布</w:t>
            </w:r>
            <w:proofErr w:type="gramEnd"/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分析标准样品</w:t>
            </w:r>
          </w:p>
        </w:tc>
      </w:tr>
      <w:tr w:rsidR="00CE07DD" w:rsidRPr="00817B89" w14:paraId="0577270E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1C01FC" w14:textId="77777777" w:rsidR="00CE07DD" w:rsidRPr="00CE07DD" w:rsidRDefault="00CE07DD" w:rsidP="00CE07D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5241E" w14:textId="331C1FFD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E8E">
              <w:rPr>
                <w:rFonts w:ascii="Times New Roman" w:hAnsi="Times New Roman" w:cs="Times New Roman"/>
                <w:sz w:val="22"/>
                <w:szCs w:val="22"/>
              </w:rPr>
              <w:t>数据库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7919B" w14:textId="076A691F" w:rsidR="00CE07DD" w:rsidRPr="001C0433" w:rsidRDefault="00CE07DD" w:rsidP="001C0433"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基础油数据库；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Albian Heavy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油数据库；原油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API 32.5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数据库；混合油数据库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6F879" w14:textId="3A80E563" w:rsidR="00CE07DD" w:rsidRPr="00323519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无参数说明</w:t>
            </w:r>
          </w:p>
        </w:tc>
      </w:tr>
      <w:tr w:rsidR="00CE07DD" w:rsidRPr="00817B89" w14:paraId="4BA108C1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22098B" w14:textId="77777777" w:rsidR="00CE07DD" w:rsidRPr="00CE07DD" w:rsidRDefault="00CE07DD" w:rsidP="00CE07D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501F1" w14:textId="034B1295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计算软件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882B2" w14:textId="18794C20" w:rsidR="00CE07DD" w:rsidRPr="00323519" w:rsidRDefault="00CE07DD" w:rsidP="00323519"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专用的模拟蒸馏软件内置动态密度曲线，可以将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FID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检测的质量百分数准确换算为体积百分数，对实际控制非常有意义；可与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DHA FE</w:t>
            </w: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数据合并表征原油全馏程数据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723B0" w14:textId="046D25CA" w:rsidR="00CE07DD" w:rsidRPr="00CE07DD" w:rsidRDefault="00CE07DD" w:rsidP="00323519"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内置于模拟蒸馏软件中，简单实现由质量百分数到体积百分比的转化，使得模拟蒸馏分析结果可以真正用到实际工艺操作中</w:t>
            </w:r>
          </w:p>
        </w:tc>
      </w:tr>
      <w:tr w:rsidR="00CE07DD" w:rsidRPr="00817B89" w14:paraId="5ACBBD4F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D9AA94" w14:textId="77777777" w:rsidR="00CE07DD" w:rsidRPr="00CE07DD" w:rsidRDefault="00CE07DD" w:rsidP="00CE07D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1E121" w14:textId="03D969DF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数据采集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6A872" w14:textId="32E32034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是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90D30" w14:textId="039B9B21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是</w:t>
            </w:r>
          </w:p>
        </w:tc>
      </w:tr>
      <w:tr w:rsidR="00CE07DD" w:rsidRPr="00817B89" w14:paraId="6F8C14D0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2A557E" w14:textId="77777777" w:rsidR="00CE07DD" w:rsidRPr="00CE07DD" w:rsidRDefault="00CE07DD" w:rsidP="00CE07D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E9BCA" w14:textId="69EF12EB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数据检索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B6621" w14:textId="3CCA8D5A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是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08070" w14:textId="567576F9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是</w:t>
            </w:r>
          </w:p>
        </w:tc>
      </w:tr>
      <w:tr w:rsidR="00CE07DD" w:rsidRPr="00817B89" w14:paraId="75C5D540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468E4C" w14:textId="77777777" w:rsidR="00CE07DD" w:rsidRPr="00CE07DD" w:rsidRDefault="00CE07DD" w:rsidP="00CE07D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DD399" w14:textId="13CB12F0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分析结果报告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B7431" w14:textId="1C15950D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是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54CF3" w14:textId="4370BC07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是</w:t>
            </w:r>
          </w:p>
        </w:tc>
      </w:tr>
      <w:tr w:rsidR="00CE07DD" w:rsidRPr="00817B89" w14:paraId="29E6E3A0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92E353" w14:textId="77777777" w:rsidR="00CE07DD" w:rsidRPr="00CE07DD" w:rsidRDefault="00CE07DD" w:rsidP="00CE07D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7B05C" w14:textId="6FD596B5" w:rsidR="00CE07DD" w:rsidRPr="00CE07DD" w:rsidRDefault="00CE07DD" w:rsidP="00CE07D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方法包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57EA7" w14:textId="543A440F" w:rsidR="00CE07DD" w:rsidRPr="00CE07DD" w:rsidRDefault="00CE07DD" w:rsidP="0016118A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出厂前按照指定方法完成调试，仪器到达用户现场即可直接使用，是完全的交钥匙工程，无需外购方法包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8C693" w14:textId="121D4073" w:rsidR="00CE07DD" w:rsidRPr="00CE07DD" w:rsidRDefault="00CE07DD" w:rsidP="0016118A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CE07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出厂前按照指定方法完成调试，仪器到达用户现场安装后即可使用</w:t>
            </w:r>
          </w:p>
        </w:tc>
      </w:tr>
      <w:tr w:rsidR="00CE07DD" w:rsidRPr="00817B89" w14:paraId="74936DAD" w14:textId="77777777" w:rsidTr="00817B89">
        <w:trPr>
          <w:trHeight w:val="20"/>
          <w:jc w:val="center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7A033" w14:textId="77777777" w:rsidR="00CE07DD" w:rsidRPr="00CE07DD" w:rsidRDefault="00CE07DD" w:rsidP="00CE07DD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市场情况</w:t>
            </w:r>
          </w:p>
          <w:p w14:paraId="6319CD92" w14:textId="77777777" w:rsidR="00CE07DD" w:rsidRPr="00CE07DD" w:rsidRDefault="00CE07DD" w:rsidP="00CE07DD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和价格比</w:t>
            </w:r>
          </w:p>
          <w:p w14:paraId="6FF03C6B" w14:textId="77777777" w:rsidR="00CE07DD" w:rsidRPr="00CE07DD" w:rsidRDefault="00CE07DD" w:rsidP="00CE07DD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AC1AA" w14:textId="77777777" w:rsidR="00CE07DD" w:rsidRPr="00CE07DD" w:rsidRDefault="00CE07DD" w:rsidP="00CE07DD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市场情况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48D12" w14:textId="2CC3CD8B" w:rsidR="00CE07DD" w:rsidRPr="00CE07DD" w:rsidRDefault="00CE07DD" w:rsidP="00CE07DD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石化行业企业及研究院</w:t>
            </w: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使用较多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0F854" w14:textId="713514E1" w:rsidR="00CE07DD" w:rsidRPr="00CE07DD" w:rsidRDefault="00CE07DD" w:rsidP="00CE07DD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部分</w:t>
            </w:r>
            <w:r w:rsidRPr="00CE07DD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石化行业研究院</w:t>
            </w: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使用</w:t>
            </w:r>
          </w:p>
        </w:tc>
      </w:tr>
      <w:tr w:rsidR="00CE07DD" w:rsidRPr="00817B89" w14:paraId="0942748A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E38AC5" w14:textId="77777777" w:rsidR="00CE07DD" w:rsidRPr="00CE07DD" w:rsidRDefault="00CE07DD" w:rsidP="00CE07D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F8A65" w14:textId="77777777" w:rsidR="00CE07DD" w:rsidRPr="00CE07DD" w:rsidRDefault="00CE07DD" w:rsidP="00CE07DD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价格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D34EE" w14:textId="73615048" w:rsidR="00CE07DD" w:rsidRPr="00CE07DD" w:rsidRDefault="0012530D" w:rsidP="00CE07DD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lang w:eastAsia="zh-CN"/>
              </w:rPr>
              <w:t>约</w:t>
            </w:r>
            <w:r w:rsidR="00CE07DD">
              <w:rPr>
                <w:rFonts w:ascii="Times New Roman" w:eastAsiaTheme="minorEastAsia" w:hAnsi="Times New Roman" w:cs="Times New Roman" w:hint="eastAsia"/>
                <w:color w:val="000000"/>
                <w:lang w:eastAsia="zh-CN"/>
              </w:rPr>
              <w:t>196</w:t>
            </w:r>
            <w:r w:rsidR="00CE07DD" w:rsidRPr="00CE07DD">
              <w:rPr>
                <w:rFonts w:ascii="Times New Roman" w:eastAsiaTheme="minorEastAsia" w:hAnsi="Times New Roman" w:cs="Times New Roman"/>
                <w:color w:val="000000"/>
              </w:rPr>
              <w:t>万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75AC8" w14:textId="18360423" w:rsidR="00CE07DD" w:rsidRPr="00CE07DD" w:rsidRDefault="0012530D" w:rsidP="0012530D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lang w:eastAsia="zh-CN"/>
              </w:rPr>
              <w:t>约</w:t>
            </w:r>
            <w:r w:rsidR="0062531A">
              <w:rPr>
                <w:rFonts w:ascii="Times New Roman" w:eastAsiaTheme="minorEastAsia" w:hAnsi="Times New Roman" w:cs="Times New Roman" w:hint="eastAsia"/>
                <w:color w:val="000000"/>
                <w:lang w:eastAsia="zh-CN"/>
              </w:rPr>
              <w:t>142</w:t>
            </w:r>
            <w:r w:rsidR="00CE07DD" w:rsidRPr="00CE07DD">
              <w:rPr>
                <w:rFonts w:ascii="Times New Roman" w:eastAsiaTheme="minorEastAsia" w:hAnsi="Times New Roman" w:cs="Times New Roman"/>
                <w:color w:val="000000"/>
              </w:rPr>
              <w:t>万</w:t>
            </w:r>
          </w:p>
        </w:tc>
      </w:tr>
      <w:tr w:rsidR="00CE07DD" w:rsidRPr="00817B89" w14:paraId="45BD5C34" w14:textId="77777777" w:rsidTr="00817B89">
        <w:trPr>
          <w:trHeight w:val="20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D895B" w14:textId="77777777" w:rsidR="00CE07DD" w:rsidRPr="00CE07DD" w:rsidRDefault="00CE07DD" w:rsidP="00CE07DD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售后服务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B3CE1" w14:textId="77777777" w:rsidR="00CE07DD" w:rsidRPr="00CE07DD" w:rsidRDefault="00CE07DD" w:rsidP="00CE07DD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技术支持及</w:t>
            </w:r>
          </w:p>
          <w:p w14:paraId="662B4EE4" w14:textId="77777777" w:rsidR="00CE07DD" w:rsidRPr="00CE07DD" w:rsidRDefault="00CE07DD" w:rsidP="00CE07DD">
            <w:pPr>
              <w:pStyle w:val="Other1"/>
              <w:spacing w:after="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CE07DD">
              <w:rPr>
                <w:rFonts w:ascii="Times New Roman" w:eastAsiaTheme="minorEastAsia" w:hAnsi="Times New Roman" w:cs="Times New Roman"/>
                <w:color w:val="000000"/>
              </w:rPr>
              <w:t>服务响应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E61CA" w14:textId="4C73E0DD" w:rsidR="00CE07DD" w:rsidRPr="00CE07DD" w:rsidRDefault="00CE07DD" w:rsidP="00341E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20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上门安装服务，免费保修</w:t>
            </w:r>
            <w:r w:rsidRPr="006020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6020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年；</w:t>
            </w:r>
            <w:r w:rsidR="0062531A" w:rsidRPr="0060204E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对用户应用技术上的问题给予免费技术支持；对仪器提供终身售后服务及备品备件供应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047C0" w14:textId="22907BC4" w:rsidR="00CE07DD" w:rsidRPr="00CE07DD" w:rsidRDefault="00CE07DD" w:rsidP="00341E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E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上门安装服务，免费保修</w:t>
            </w:r>
            <w:r w:rsidRPr="00341E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341E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年；</w:t>
            </w:r>
            <w:r w:rsidR="0062531A" w:rsidRPr="00341E29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对仪器提供永久的技术支持和优良的售后服务</w:t>
            </w:r>
          </w:p>
        </w:tc>
      </w:tr>
    </w:tbl>
    <w:p w14:paraId="0C870D5D" w14:textId="77777777" w:rsidR="001045C9" w:rsidRPr="00CD0850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四、条件准备情况</w:t>
      </w:r>
    </w:p>
    <w:p w14:paraId="34184D6D" w14:textId="17590ACA" w:rsidR="001045C9" w:rsidRPr="00CD0850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实验室具备电（220V单相电源）、通风（排气系统）、实验平台（尺寸大于50 x 55 cm, 可以承</w:t>
      </w:r>
      <w:r w:rsidR="00087CE8"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50</w:t>
      </w: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Kg以上的设备）等安装条件。</w:t>
      </w:r>
    </w:p>
    <w:p w14:paraId="13998E22" w14:textId="77777777" w:rsidR="001045C9" w:rsidRPr="00CD0850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五、可能存在的安全性问题</w:t>
      </w:r>
    </w:p>
    <w:p w14:paraId="04EE58C4" w14:textId="77777777" w:rsidR="001045C9" w:rsidRPr="00CD0850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CD085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该设备使用过程无放射物产生，可能产生少量废气可由通风净化系统处理，不会产生安全性问题。</w:t>
      </w:r>
    </w:p>
    <w:sectPr w:rsidR="001045C9" w:rsidRPr="00CD0850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3E733" w14:textId="77777777" w:rsidR="00F13F0C" w:rsidRDefault="00F13F0C">
      <w:r>
        <w:separator/>
      </w:r>
    </w:p>
  </w:endnote>
  <w:endnote w:type="continuationSeparator" w:id="0">
    <w:p w14:paraId="05E47246" w14:textId="77777777" w:rsidR="00F13F0C" w:rsidRDefault="00F1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A3DE" w14:textId="77777777" w:rsidR="001045C9" w:rsidRDefault="00A84CF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EE676E" wp14:editId="0702D6FC">
              <wp:simplePos x="0" y="0"/>
              <wp:positionH relativeFrom="page">
                <wp:posOffset>3839210</wp:posOffset>
              </wp:positionH>
              <wp:positionV relativeFrom="page">
                <wp:posOffset>10211435</wp:posOffset>
              </wp:positionV>
              <wp:extent cx="187325" cy="774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E23DE" w14:textId="77777777" w:rsidR="001045C9" w:rsidRDefault="00A84CF8">
                          <w:pPr>
                            <w:pStyle w:val="Headerorfooter2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-1 -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w14:anchorId="5AEE676E"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left:0;text-align:left;margin-left:302.3pt;margin-top:804.05pt;width:14.75pt;height:6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" filled="f" stroked="f">
              <v:textbox style="mso-fit-shape-to-text:t" inset="0,0,0,0">
                <w:txbxContent>
                  <w:p w14:paraId="12FE23DE" w14:textId="77777777" w:rsidR="001045C9" w:rsidRDefault="00A84CF8">
                    <w:pPr>
                      <w:pStyle w:val="Headerorfooter2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-1 -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3E4F6" w14:textId="77777777" w:rsidR="00F13F0C" w:rsidRDefault="00F13F0C">
      <w:r>
        <w:separator/>
      </w:r>
    </w:p>
  </w:footnote>
  <w:footnote w:type="continuationSeparator" w:id="0">
    <w:p w14:paraId="74D83565" w14:textId="77777777" w:rsidR="00F13F0C" w:rsidRDefault="00F13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A8F"/>
    <w:rsid w:val="00031E07"/>
    <w:rsid w:val="0004008B"/>
    <w:rsid w:val="00052A08"/>
    <w:rsid w:val="000728D9"/>
    <w:rsid w:val="00081ED4"/>
    <w:rsid w:val="00087CE8"/>
    <w:rsid w:val="00091D49"/>
    <w:rsid w:val="000D36C0"/>
    <w:rsid w:val="001045C9"/>
    <w:rsid w:val="0012530D"/>
    <w:rsid w:val="0016118A"/>
    <w:rsid w:val="001C0433"/>
    <w:rsid w:val="002B1651"/>
    <w:rsid w:val="00323519"/>
    <w:rsid w:val="00341E29"/>
    <w:rsid w:val="00381E33"/>
    <w:rsid w:val="00447586"/>
    <w:rsid w:val="00460ECF"/>
    <w:rsid w:val="004C1597"/>
    <w:rsid w:val="004E5283"/>
    <w:rsid w:val="00517FFE"/>
    <w:rsid w:val="0053648A"/>
    <w:rsid w:val="005A13DB"/>
    <w:rsid w:val="0060204E"/>
    <w:rsid w:val="0062531A"/>
    <w:rsid w:val="006B0EB8"/>
    <w:rsid w:val="006C47FD"/>
    <w:rsid w:val="007B3FE0"/>
    <w:rsid w:val="007E781C"/>
    <w:rsid w:val="00800F98"/>
    <w:rsid w:val="00817B89"/>
    <w:rsid w:val="00876BF3"/>
    <w:rsid w:val="008D56ED"/>
    <w:rsid w:val="008E7CB8"/>
    <w:rsid w:val="0099678F"/>
    <w:rsid w:val="009B1CDC"/>
    <w:rsid w:val="009D4904"/>
    <w:rsid w:val="00A05E8E"/>
    <w:rsid w:val="00A84524"/>
    <w:rsid w:val="00A84CF8"/>
    <w:rsid w:val="00AA7EDF"/>
    <w:rsid w:val="00AB1DA4"/>
    <w:rsid w:val="00AC6902"/>
    <w:rsid w:val="00AD545C"/>
    <w:rsid w:val="00AE442E"/>
    <w:rsid w:val="00B13495"/>
    <w:rsid w:val="00BA3CA8"/>
    <w:rsid w:val="00BC4930"/>
    <w:rsid w:val="00CB0775"/>
    <w:rsid w:val="00CB1C2B"/>
    <w:rsid w:val="00CD0850"/>
    <w:rsid w:val="00CE07DD"/>
    <w:rsid w:val="00E56609"/>
    <w:rsid w:val="00EB7E60"/>
    <w:rsid w:val="00F13F0C"/>
    <w:rsid w:val="00F37871"/>
    <w:rsid w:val="01EA0E83"/>
    <w:rsid w:val="0301396B"/>
    <w:rsid w:val="05154E61"/>
    <w:rsid w:val="0ACD3951"/>
    <w:rsid w:val="0C2107A9"/>
    <w:rsid w:val="0CF462EF"/>
    <w:rsid w:val="108F4BD1"/>
    <w:rsid w:val="11C95F9C"/>
    <w:rsid w:val="1209283C"/>
    <w:rsid w:val="130628D8"/>
    <w:rsid w:val="14C94C7D"/>
    <w:rsid w:val="1E592455"/>
    <w:rsid w:val="1FBB33A3"/>
    <w:rsid w:val="23201794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304F04EB"/>
    <w:rsid w:val="30C84A8F"/>
    <w:rsid w:val="33F9446E"/>
    <w:rsid w:val="3522139B"/>
    <w:rsid w:val="35BA60CE"/>
    <w:rsid w:val="39C33C94"/>
    <w:rsid w:val="3D0535B4"/>
    <w:rsid w:val="40C33A32"/>
    <w:rsid w:val="47947ED7"/>
    <w:rsid w:val="483E65AE"/>
    <w:rsid w:val="4BFE6267"/>
    <w:rsid w:val="4C2A6435"/>
    <w:rsid w:val="536D782E"/>
    <w:rsid w:val="55591C47"/>
    <w:rsid w:val="564927D4"/>
    <w:rsid w:val="57D85FAF"/>
    <w:rsid w:val="5F131BD1"/>
    <w:rsid w:val="709541F4"/>
    <w:rsid w:val="70FF1E55"/>
    <w:rsid w:val="74543DB5"/>
    <w:rsid w:val="77B27D81"/>
    <w:rsid w:val="7BD5403F"/>
    <w:rsid w:val="7BFF2E69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25B2C"/>
  <w15:docId w15:val="{5B3DB449-8E31-4CB7-82C8-00F4B64E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Heading41">
    <w:name w:val="Heading #4|1"/>
    <w:basedOn w:val="a"/>
    <w:qFormat/>
    <w:pPr>
      <w:spacing w:after="70" w:line="414" w:lineRule="exact"/>
      <w:outlineLvl w:val="3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736" w:lineRule="exact"/>
      <w:ind w:left="340" w:hanging="34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5">
    <w:name w:val="header"/>
    <w:basedOn w:val="a"/>
    <w:link w:val="Char"/>
    <w:rsid w:val="006C4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C47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C4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C47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365</Words>
  <Characters>2085</Characters>
  <Application>Microsoft Office Word</Application>
  <DocSecurity>0</DocSecurity>
  <Lines>17</Lines>
  <Paragraphs>4</Paragraphs>
  <ScaleCrop>false</ScaleCrop>
  <Company>Microsoft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huawei</cp:lastModifiedBy>
  <cp:revision>319</cp:revision>
  <dcterms:created xsi:type="dcterms:W3CDTF">2021-12-06T02:49:00Z</dcterms:created>
  <dcterms:modified xsi:type="dcterms:W3CDTF">2022-05-12T00:14:00Z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