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1F940" w14:textId="5035DBC6" w:rsidR="00413170" w:rsidRPr="0008450F" w:rsidRDefault="00D27AF0" w:rsidP="00616DE6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2"/>
          <w:szCs w:val="32"/>
        </w:rPr>
      </w:pPr>
      <w:r w:rsidRPr="0008450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2"/>
          <w:szCs w:val="32"/>
        </w:rPr>
        <w:t>清源创新实验室</w:t>
      </w:r>
      <w:r w:rsidR="00BB6E85" w:rsidRPr="0008450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2"/>
          <w:szCs w:val="32"/>
        </w:rPr>
        <w:t>旋转流变仪</w:t>
      </w:r>
      <w:r w:rsidRPr="0008450F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2"/>
          <w:szCs w:val="32"/>
        </w:rPr>
        <w:t>需求调研情况</w:t>
      </w:r>
    </w:p>
    <w:p w14:paraId="0CC3FE38" w14:textId="77777777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一、仪器设备使用的项目</w:t>
      </w:r>
    </w:p>
    <w:p w14:paraId="55FC6862" w14:textId="40E44FEF" w:rsidR="00413170" w:rsidRPr="0008450F" w:rsidRDefault="009E0A9A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bookmarkStart w:id="0" w:name="_Hlk101432406"/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旋转流变仪</w:t>
      </w:r>
      <w:bookmarkEnd w:id="0"/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适用于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分析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</w:t>
      </w:r>
      <w:r w:rsidR="00D27AF0" w:rsidRPr="0008450F">
        <w:rPr>
          <w:rFonts w:ascii="仿宋_GB2312" w:eastAsia="仿宋_GB2312" w:hAnsi="仿宋_GB2312" w:cs="仿宋_GB2312"/>
          <w:color w:val="000000"/>
          <w:sz w:val="28"/>
          <w:szCs w:val="28"/>
        </w:rPr>
        <w:t>的</w:t>
      </w:r>
      <w:r w:rsidR="00721C2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流变性质</w:t>
      </w:r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="00616DE6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清源</w:t>
      </w:r>
      <w:r w:rsidR="00616D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创新</w:t>
      </w:r>
      <w:r w:rsidR="00616DE6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</w:t>
      </w:r>
      <w:bookmarkStart w:id="1" w:name="_GoBack"/>
      <w:bookmarkEnd w:id="1"/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计划购置的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旋转流变仪</w:t>
      </w:r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，主要用于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</w:t>
      </w:r>
      <w:r w:rsidR="00721C2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材料黏度、流动性、触变性、稳定性及对同一体系聚合物样品进行分子量及其分布、支化行为等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的分析，</w:t>
      </w:r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可服务于实验室各相关研究方向，加速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烯烃产品</w:t>
      </w:r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评价</w:t>
      </w:r>
      <w:r w:rsidR="00D27AF0" w:rsidRPr="0008450F">
        <w:rPr>
          <w:rFonts w:ascii="仿宋_GB2312" w:eastAsia="仿宋_GB2312" w:hAnsi="仿宋_GB2312" w:cs="仿宋_GB2312"/>
          <w:color w:val="000000"/>
          <w:sz w:val="28"/>
          <w:szCs w:val="28"/>
        </w:rPr>
        <w:t>及制备</w:t>
      </w:r>
      <w:r w:rsidR="00D27AF0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工艺的优化，推动应用研究进程。</w:t>
      </w:r>
    </w:p>
    <w:p w14:paraId="4F3D60BA" w14:textId="77777777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二、在该项目中所承担的任务</w:t>
      </w:r>
    </w:p>
    <w:p w14:paraId="00B49358" w14:textId="2570D361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拟购置的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旋转流变仪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可以分析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="00721C2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流变性质</w:t>
      </w:r>
      <w:r w:rsidRPr="0008450F">
        <w:rPr>
          <w:rFonts w:ascii="仿宋_GB2312" w:eastAsia="仿宋_GB2312" w:hAnsi="仿宋_GB2312" w:cs="仿宋_GB2312"/>
          <w:color w:val="000000"/>
          <w:sz w:val="28"/>
          <w:szCs w:val="28"/>
        </w:rPr>
        <w:t>，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从而</w:t>
      </w:r>
      <w:r w:rsidRPr="0008450F">
        <w:rPr>
          <w:rFonts w:ascii="仿宋_GB2312" w:eastAsia="仿宋_GB2312" w:hAnsi="仿宋_GB2312" w:cs="仿宋_GB2312"/>
          <w:color w:val="000000"/>
          <w:sz w:val="28"/>
          <w:szCs w:val="28"/>
        </w:rPr>
        <w:t>确定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产品的性能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，满足不同条件下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对聚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性能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评价的需要，可加速以工业应用研究为目标的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烯烃</w:t>
      </w:r>
      <w:r w:rsidR="009E0A9A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相关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的研发进程。该设备的购置主要服务于清源</w:t>
      </w:r>
      <w:r w:rsidR="00616D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创新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</w:t>
      </w:r>
      <w:r w:rsidR="002B33C7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聚烯烃树脂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方向所承担</w:t>
      </w:r>
      <w:r w:rsidR="00F06E5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国家</w:t>
      </w:r>
      <w:r w:rsidR="00F06E5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省部</w:t>
      </w:r>
      <w:r w:rsidR="00F06E5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企业合作</w:t>
      </w:r>
      <w:r w:rsidR="00F06E5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项目</w:t>
      </w:r>
      <w:r w:rsidR="00F06E52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及各类人才的培养。</w:t>
      </w:r>
    </w:p>
    <w:p w14:paraId="2A854D4B" w14:textId="77777777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三、国内外同类项目所用的仪器设备及优缺点对比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38"/>
        <w:gridCol w:w="2220"/>
        <w:gridCol w:w="652"/>
        <w:gridCol w:w="1583"/>
        <w:gridCol w:w="168"/>
        <w:gridCol w:w="2067"/>
      </w:tblGrid>
      <w:tr w:rsidR="00413170" w14:paraId="24BC9E5D" w14:textId="77777777" w:rsidTr="008C2790">
        <w:trPr>
          <w:trHeight w:hRule="exact" w:val="4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3042C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名称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EDBA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型号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3E3B7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制造公司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3D9F1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使用单位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CD322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购置时间</w:t>
            </w:r>
          </w:p>
        </w:tc>
      </w:tr>
      <w:tr w:rsidR="00413170" w14:paraId="545B3918" w14:textId="77777777" w:rsidTr="008C2790">
        <w:trPr>
          <w:trHeight w:hRule="exact"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4158C" w14:textId="20D5DEE9" w:rsidR="00721C22" w:rsidRPr="006948A7" w:rsidRDefault="00831E07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美国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T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A</w:t>
            </w:r>
            <w:r w:rsidR="00721C22"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 xml:space="preserve"> H</w:t>
            </w:r>
            <w:r w:rsidR="00721C22" w:rsidRPr="006948A7">
              <w:rPr>
                <w:rFonts w:ascii="Times New Roman" w:eastAsiaTheme="minorEastAsia" w:hAnsi="Times New Roman" w:cs="Times New Roman"/>
                <w:color w:val="000000"/>
              </w:rPr>
              <w:t>R 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B8BCD" w14:textId="00FB8DD2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HR 20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1FB2" w14:textId="75FB890C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美国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T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A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FE2E8" w14:textId="45724974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中国科学院大学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9FB1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2021</w:t>
            </w:r>
          </w:p>
        </w:tc>
      </w:tr>
      <w:tr w:rsidR="00413170" w14:paraId="34010DE9" w14:textId="77777777" w:rsidTr="008C2790">
        <w:trPr>
          <w:trHeight w:hRule="exact" w:val="7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A27DB" w14:textId="030FC226" w:rsidR="00721C22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德国哈克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Mars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 xml:space="preserve"> 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7EA1A" w14:textId="2D81001B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Mars 60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CD6B7" w14:textId="3146A9CB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德国哈克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5FA48" w14:textId="37E62467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中化蓝天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60CA" w14:textId="1468340E" w:rsidR="00413170" w:rsidRPr="006948A7" w:rsidRDefault="00032B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不详</w:t>
            </w:r>
          </w:p>
        </w:tc>
      </w:tr>
      <w:tr w:rsidR="00413170" w14:paraId="22481903" w14:textId="77777777" w:rsidTr="008C2790">
        <w:trPr>
          <w:trHeight w:hRule="exact" w:val="9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F6608" w14:textId="13A7509A" w:rsidR="00413170" w:rsidRPr="00B103B3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="PMingLiU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奥地利安东帕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 xml:space="preserve"> 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MCR 302</w:t>
            </w:r>
            <w:r w:rsidR="00B103B3">
              <w:rPr>
                <w:rFonts w:ascii="Times New Roman" w:eastAsia="PMingLiU" w:hAnsi="Times New Roman" w:cs="Times New Roman"/>
                <w:color w:val="000000"/>
              </w:rPr>
              <w:t>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A1832" w14:textId="14CBEFDA" w:rsidR="00413170" w:rsidRPr="00B103B3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="PMingLiU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Mcr 302</w:t>
            </w:r>
            <w:r w:rsidR="00B103B3">
              <w:rPr>
                <w:rFonts w:ascii="Times New Roman" w:eastAsia="PMingLiU" w:hAnsi="Times New Roman" w:cs="Times New Roman"/>
                <w:color w:val="000000"/>
              </w:rPr>
              <w:t>e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F2775" w14:textId="26F9EF5F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奥地利安东帕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F5270" w14:textId="1C3DF4D7" w:rsidR="00413170" w:rsidRPr="006948A7" w:rsidRDefault="00721C22" w:rsidP="00743CC8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福建农科院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6316" w14:textId="256CA7A4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lang w:eastAsia="zh-CN"/>
              </w:rPr>
              <w:t>2021</w:t>
            </w:r>
          </w:p>
        </w:tc>
      </w:tr>
      <w:tr w:rsidR="00673BF7" w14:paraId="50B1BDF8" w14:textId="77777777" w:rsidTr="00E4395A">
        <w:trPr>
          <w:trHeight w:hRule="exact" w:val="401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2A3C6" w14:textId="6C75DCB2" w:rsidR="00673BF7" w:rsidRPr="006948A7" w:rsidRDefault="00673BF7" w:rsidP="006948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/>
              </w:rPr>
              <w:t>优缺点对比</w:t>
            </w:r>
          </w:p>
        </w:tc>
      </w:tr>
      <w:tr w:rsidR="00673BF7" w14:paraId="363389F5" w14:textId="77777777" w:rsidTr="009F0139">
        <w:trPr>
          <w:trHeight w:hRule="exact"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1A12B" w14:textId="77777777" w:rsidR="00673BF7" w:rsidRPr="006948A7" w:rsidRDefault="00673BF7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品牌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3D6B1" w14:textId="77777777" w:rsidR="00673BF7" w:rsidRPr="006948A7" w:rsidRDefault="00673BF7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优点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291E2" w14:textId="77777777" w:rsidR="00673BF7" w:rsidRPr="006948A7" w:rsidRDefault="00673BF7" w:rsidP="006948A7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缺点</w:t>
            </w:r>
          </w:p>
        </w:tc>
      </w:tr>
      <w:tr w:rsidR="001C0DCA" w14:paraId="51D55745" w14:textId="77777777" w:rsidTr="00B16F88">
        <w:trPr>
          <w:trHeight w:hRule="exact" w:val="58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4368" w14:textId="5A9A5BE7" w:rsidR="001C0DCA" w:rsidRPr="006948A7" w:rsidRDefault="001C0DCA" w:rsidP="001C0DCA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美国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T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A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 xml:space="preserve"> H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R 20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6F0F5" w14:textId="0F467621" w:rsidR="001C0DCA" w:rsidRPr="006948A7" w:rsidRDefault="00FF10F2" w:rsidP="00987E40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惯量可</w:t>
            </w:r>
            <w:r w:rsidR="001C0DCA"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校准</w:t>
            </w:r>
            <w:r w:rsidR="001C0DCA"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，</w:t>
            </w:r>
            <w:r w:rsidR="001C0DCA" w:rsidRPr="005111DE">
              <w:rPr>
                <w:rFonts w:ascii="Times New Roman" w:hAnsi="Times New Roman" w:cs="Times New Roman"/>
                <w:color w:val="000000" w:themeColor="text1"/>
                <w:kern w:val="24"/>
              </w:rPr>
              <w:t>最小偏转角</w:t>
            </w:r>
            <w:r w:rsidR="001C0DCA" w:rsidRPr="005111DE"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小</w:t>
            </w:r>
            <w:r w:rsidR="00987E40"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，</w:t>
            </w:r>
            <w:r w:rsidR="001C0DCA"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磁悬浮轴承</w:t>
            </w:r>
            <w:r w:rsidR="001C0DCA">
              <w:rPr>
                <w:rFonts w:ascii="Times New Roman" w:hAnsi="Times New Roman" w:cs="Times New Roman"/>
                <w:bCs/>
                <w:color w:val="000000" w:themeColor="text1"/>
                <w:kern w:val="24"/>
                <w:lang w:eastAsia="zh-CN"/>
              </w:rPr>
              <w:t>摩擦小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296F1" w14:textId="3CEA69F9" w:rsidR="001C0DCA" w:rsidRPr="006948A7" w:rsidRDefault="001C0DCA" w:rsidP="001C0DCA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</w:rPr>
            </w:pPr>
            <w:r w:rsidRPr="005670CF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惯量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lang w:val="en-US" w:eastAsia="zh-CN"/>
              </w:rPr>
              <w:t>较大</w:t>
            </w:r>
          </w:p>
        </w:tc>
      </w:tr>
      <w:tr w:rsidR="001C0DCA" w14:paraId="614B3E74" w14:textId="77777777" w:rsidTr="00423CD1">
        <w:trPr>
          <w:trHeight w:hRule="exact" w:val="64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1C2FE" w14:textId="2640A6AC" w:rsidR="001C0DCA" w:rsidRPr="006948A7" w:rsidRDefault="001C0DCA" w:rsidP="001C0DCA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德国哈克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 xml:space="preserve"> Mars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 xml:space="preserve"> 60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24459" w14:textId="4125EF13" w:rsidR="001C0DCA" w:rsidRPr="006948A7" w:rsidRDefault="001C0DCA" w:rsidP="001C0DCA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  <w:lang w:eastAsia="zh-CN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惯量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小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23A81" w14:textId="42CAF41D" w:rsidR="001C0DCA" w:rsidRPr="00347E16" w:rsidRDefault="001C0DCA" w:rsidP="00347E16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惯量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不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可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校准</w:t>
            </w:r>
          </w:p>
        </w:tc>
      </w:tr>
      <w:tr w:rsidR="001C0DCA" w14:paraId="65E73473" w14:textId="77777777" w:rsidTr="005617AF">
        <w:trPr>
          <w:trHeight w:hRule="exact" w:val="6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CEF2" w14:textId="449C2F89" w:rsidR="001C0DCA" w:rsidRPr="006948A7" w:rsidRDefault="001C0DCA" w:rsidP="001C0D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/>
              </w:rPr>
              <w:t>奥地利安东帕</w:t>
            </w:r>
            <w:r w:rsidRPr="006948A7">
              <w:rPr>
                <w:rFonts w:ascii="Times New Roman" w:hAnsi="Times New Roman" w:cs="Times New Roman"/>
                <w:color w:val="000000"/>
              </w:rPr>
              <w:t xml:space="preserve"> MCR 302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D57C" w14:textId="67518451" w:rsidR="001C0DCA" w:rsidRPr="006948A7" w:rsidRDefault="001C0DCA" w:rsidP="001C0DCA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惯量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可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zh-CN"/>
              </w:rPr>
              <w:t>校准，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旋转模式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和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振荡模式最小扭矩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较小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35094" w14:textId="2A2FFBFF" w:rsidR="001C0DCA" w:rsidRPr="006948A7" w:rsidRDefault="001C0DCA" w:rsidP="001C0DCA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  <w:highlight w:val="yellow"/>
                <w:lang w:eastAsia="zh-CN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惯量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4"/>
                <w:lang w:eastAsia="zh-CN"/>
              </w:rPr>
              <w:t>较大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zh-CN"/>
              </w:rPr>
              <w:t>，但</w:t>
            </w:r>
            <w:r>
              <w:rPr>
                <w:rFonts w:ascii="Times New Roman" w:hAnsi="Times New Roman" w:cs="Times New Roman" w:hint="eastAsia"/>
                <w:color w:val="000000" w:themeColor="dark1"/>
                <w:kern w:val="24"/>
              </w:rPr>
              <w:t>测试时</w:t>
            </w:r>
            <w:r>
              <w:rPr>
                <w:rFonts w:ascii="Times New Roman" w:hAnsi="Times New Roman" w:cs="Times New Roman" w:hint="eastAsia"/>
                <w:color w:val="000000" w:themeColor="dark1"/>
                <w:kern w:val="24"/>
                <w:lang w:eastAsia="zh-CN"/>
              </w:rPr>
              <w:t>会</w:t>
            </w:r>
            <w:r>
              <w:rPr>
                <w:rFonts w:ascii="Times New Roman" w:hAnsi="Times New Roman" w:cs="Times New Roman" w:hint="eastAsia"/>
                <w:color w:val="000000" w:themeColor="dark1"/>
                <w:kern w:val="24"/>
              </w:rPr>
              <w:t>自动扣除惯量</w:t>
            </w:r>
          </w:p>
        </w:tc>
      </w:tr>
      <w:tr w:rsidR="00413170" w14:paraId="703DC47A" w14:textId="77777777" w:rsidTr="006948A7">
        <w:trPr>
          <w:trHeight w:hRule="exact" w:val="505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41530" w14:textId="4B9838DD" w:rsidR="00413170" w:rsidRPr="006948A7" w:rsidRDefault="00D27AF0" w:rsidP="006858E3">
            <w:pPr>
              <w:pStyle w:val="Other1"/>
              <w:spacing w:after="0" w:line="425" w:lineRule="exact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同类项目所用仪器设备的优缺点</w:t>
            </w:r>
          </w:p>
        </w:tc>
      </w:tr>
      <w:tr w:rsidR="00413170" w14:paraId="35515A40" w14:textId="77777777" w:rsidTr="008C2790">
        <w:trPr>
          <w:trHeight w:hRule="exact" w:val="66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767D9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类别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79620" w14:textId="77777777" w:rsidR="00413170" w:rsidRPr="006948A7" w:rsidRDefault="00D27AF0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项目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6F248" w14:textId="77777777" w:rsidR="00413170" w:rsidRPr="006948A7" w:rsidRDefault="00831E07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美国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TA</w:t>
            </w:r>
          </w:p>
          <w:p w14:paraId="0E56F623" w14:textId="574433E1" w:rsidR="00831E07" w:rsidRPr="006948A7" w:rsidRDefault="00831E07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H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R 20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9B244" w14:textId="7B417E89" w:rsidR="00413170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德国哈克</w:t>
            </w:r>
          </w:p>
          <w:p w14:paraId="392D4C25" w14:textId="5B72F48A" w:rsidR="00831E07" w:rsidRPr="006948A7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M</w:t>
            </w: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ar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s 60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D4D88" w14:textId="40F2244A" w:rsidR="00831E07" w:rsidRPr="006948A7" w:rsidRDefault="00A90DAA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奥地利安东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帕</w:t>
            </w:r>
            <w:proofErr w:type="gramEnd"/>
          </w:p>
          <w:p w14:paraId="19CF0075" w14:textId="5C38A05E" w:rsidR="00721C22" w:rsidRPr="00741CEC" w:rsidRDefault="00721C22" w:rsidP="006948A7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M</w:t>
            </w: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CR 302</w:t>
            </w:r>
            <w:r w:rsidR="00741CEC">
              <w:rPr>
                <w:rFonts w:ascii="Times New Roman" w:eastAsia="PMingLiU" w:hAnsi="Times New Roman" w:cs="Times New Roman"/>
                <w:color w:val="000000"/>
              </w:rPr>
              <w:t>e</w:t>
            </w:r>
          </w:p>
        </w:tc>
      </w:tr>
      <w:tr w:rsidR="00721C22" w14:paraId="705972ED" w14:textId="77777777" w:rsidTr="008C2790">
        <w:trPr>
          <w:trHeight w:val="66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0299C" w14:textId="77777777" w:rsidR="00721C22" w:rsidRPr="006948A7" w:rsidRDefault="00721C22" w:rsidP="006948A7">
            <w:pPr>
              <w:pStyle w:val="Other1"/>
              <w:spacing w:after="0" w:line="324" w:lineRule="exact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主要性能</w:t>
            </w:r>
          </w:p>
          <w:p w14:paraId="5A490FC6" w14:textId="77777777" w:rsidR="00721C22" w:rsidRPr="006948A7" w:rsidRDefault="00721C22" w:rsidP="006948A7">
            <w:pPr>
              <w:pStyle w:val="Other1"/>
              <w:spacing w:after="0" w:line="324" w:lineRule="exact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指标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F116C" w14:textId="16C01E3D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kern w:val="0"/>
                <w:sz w:val="22"/>
                <w:szCs w:val="22"/>
              </w:rPr>
              <w:t>马达设计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C24B0" w14:textId="492A2074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kern w:val="0"/>
                <w:sz w:val="22"/>
                <w:szCs w:val="22"/>
              </w:rPr>
              <w:t>托杯马达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86694" w14:textId="5EE4EF5F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kern w:val="0"/>
                <w:sz w:val="22"/>
                <w:szCs w:val="22"/>
              </w:rPr>
              <w:t>托杯马达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41228" w14:textId="5868915C" w:rsidR="00721C22" w:rsidRPr="006948A7" w:rsidRDefault="00741CEC" w:rsidP="00741CEC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无刷直流马达</w:t>
            </w:r>
            <w:r w:rsidRPr="006948A7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:rsidR="00721C22" w14:paraId="37ED60CF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9AEB9B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D565F" w14:textId="17336C92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止推</w:t>
            </w: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/</w:t>
            </w: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径向轴承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77C23" w14:textId="5A319038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磁悬浮</w:t>
            </w: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/</w:t>
            </w: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空气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2DD8" w14:textId="73E873D6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空气轴承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59D3A" w14:textId="128E9AFB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空气轴承</w:t>
            </w:r>
          </w:p>
        </w:tc>
      </w:tr>
      <w:tr w:rsidR="00721C22" w14:paraId="48F8E0A9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A7BB85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19A62" w14:textId="37F29128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是否同步响应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C7CDE" w14:textId="6DACC8E1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是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0D45" w14:textId="4EE96F31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是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C184" w14:textId="7487392C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是</w:t>
            </w:r>
          </w:p>
        </w:tc>
      </w:tr>
      <w:tr w:rsidR="00721C22" w14:paraId="712D221F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F9494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3BBCB" w14:textId="5E18C01C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惯量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µNms2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4644" w14:textId="634BB1AF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15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C91A5" w14:textId="315A5935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7336" w14:textId="1618758B" w:rsidR="00721C22" w:rsidRDefault="00721C22" w:rsidP="006948A7">
            <w:pPr>
              <w:jc w:val="center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&gt;100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（采用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EC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马达惯性大）</w:t>
            </w:r>
          </w:p>
          <w:p w14:paraId="28AC32FF" w14:textId="2235D32F" w:rsidR="00741CEC" w:rsidRPr="00741CEC" w:rsidRDefault="00741CEC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dark1"/>
                <w:kern w:val="24"/>
              </w:rPr>
              <w:t>测试时自动扣除惯量</w:t>
            </w:r>
          </w:p>
        </w:tc>
      </w:tr>
      <w:tr w:rsidR="00721C22" w14:paraId="5AB81388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82F605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51A46" w14:textId="6C323C79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惯量是否可以校准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DBE08" w14:textId="5F00D11C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可以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00123" w14:textId="1BA0FB1D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不可以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7974" w14:textId="02A944B9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可以</w:t>
            </w:r>
          </w:p>
        </w:tc>
      </w:tr>
      <w:tr w:rsidR="00721C22" w14:paraId="3327C40F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D231AE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8C1EB" w14:textId="6A90A19B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旋转模式最小扭矩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nNm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428D1" w14:textId="67E99E6D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EA89A" w14:textId="3E28FFD0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EB24" w14:textId="56E961FA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</w:t>
            </w:r>
          </w:p>
        </w:tc>
      </w:tr>
      <w:tr w:rsidR="00721C22" w14:paraId="509FDCB4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993038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B93BB" w14:textId="5D9D38C3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振荡模式最小扭矩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nNm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F6067" w14:textId="163FE038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1FF73" w14:textId="5308CD7F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1A2D0" w14:textId="32BE2AE0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0.5</w:t>
            </w:r>
          </w:p>
        </w:tc>
      </w:tr>
      <w:tr w:rsidR="00721C22" w14:paraId="468B83BE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E2C8BF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C1BAE" w14:textId="37FCDA98" w:rsidR="00721C22" w:rsidRPr="00D027F9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kern w:val="24"/>
              </w:rPr>
              <w:t>最大扭矩</w:t>
            </w:r>
            <w:proofErr w:type="spellStart"/>
            <w:r w:rsidRPr="00D027F9">
              <w:rPr>
                <w:rFonts w:ascii="Times New Roman" w:hAnsi="Times New Roman" w:cs="Times New Roman"/>
                <w:kern w:val="24"/>
              </w:rPr>
              <w:t>mNm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EC950" w14:textId="09263AB6" w:rsidR="00721C22" w:rsidRPr="00D027F9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kern w:val="24"/>
              </w:rPr>
              <w:t>200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DD982" w14:textId="16438E95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200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E02BB" w14:textId="783DC42A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230</w:t>
            </w:r>
          </w:p>
        </w:tc>
      </w:tr>
      <w:tr w:rsidR="00721C22" w14:paraId="51BB8F73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49F89F" w14:textId="77777777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3DB7B" w14:textId="0C982211" w:rsidR="00721C22" w:rsidRPr="00D027F9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kern w:val="24"/>
              </w:rPr>
              <w:t>最小角频率</w:t>
            </w:r>
            <w:r w:rsidRPr="00D027F9">
              <w:rPr>
                <w:rFonts w:ascii="Times New Roman" w:hAnsi="Times New Roman" w:cs="Times New Roman"/>
                <w:kern w:val="24"/>
              </w:rPr>
              <w:t>rad/s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7D0EF" w14:textId="44E9F519" w:rsidR="00721C22" w:rsidRPr="00D027F9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kern w:val="24"/>
              </w:rPr>
              <w:t>6.28*10E-7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70CBB" w14:textId="09D7E7B3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10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  <w:position w:val="7"/>
                <w:vertAlign w:val="superscript"/>
              </w:rPr>
              <w:t>-6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04CB5" w14:textId="503E2A39" w:rsidR="00721C22" w:rsidRPr="006948A7" w:rsidRDefault="00721C22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10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  <w:position w:val="7"/>
                <w:vertAlign w:val="superscript"/>
              </w:rPr>
              <w:t>-7</w:t>
            </w:r>
          </w:p>
        </w:tc>
      </w:tr>
      <w:tr w:rsidR="006948A7" w14:paraId="7C02976C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7B047F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84E2F" w14:textId="11CC7694" w:rsidR="006948A7" w:rsidRPr="00D027F9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kern w:val="24"/>
              </w:rPr>
              <w:t>最大角频率</w:t>
            </w:r>
            <w:r w:rsidRPr="00D027F9">
              <w:rPr>
                <w:rFonts w:ascii="Times New Roman" w:hAnsi="Times New Roman" w:cs="Times New Roman"/>
                <w:kern w:val="24"/>
              </w:rPr>
              <w:t>rad/s</w:t>
            </w:r>
            <w:r w:rsidRPr="00D027F9">
              <w:rPr>
                <w:rFonts w:ascii="Times New Roman" w:hAnsi="Times New Roman" w:cs="Times New Roman"/>
                <w:bCs/>
                <w:kern w:val="24"/>
              </w:rPr>
              <w:t>频率</w:t>
            </w:r>
            <w:r w:rsidRPr="00D027F9">
              <w:rPr>
                <w:rFonts w:ascii="Times New Roman" w:hAnsi="Times New Roman" w:cs="Times New Roman"/>
                <w:bCs/>
                <w:kern w:val="24"/>
              </w:rPr>
              <w:t>rad/s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C36F1" w14:textId="69716BDE" w:rsidR="006948A7" w:rsidRPr="00D027F9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bCs/>
                <w:kern w:val="24"/>
              </w:rPr>
              <w:t>628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49B88" w14:textId="31E9ED58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dark1"/>
                <w:kern w:val="24"/>
              </w:rPr>
              <w:t>628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FA465" w14:textId="000C1DDE" w:rsidR="006948A7" w:rsidRPr="006948A7" w:rsidRDefault="00095B1A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24"/>
              </w:rPr>
              <w:t>628</w:t>
            </w:r>
          </w:p>
        </w:tc>
      </w:tr>
      <w:tr w:rsidR="006948A7" w14:paraId="1CE34259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77F72F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27DBF" w14:textId="7B42A120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角速度范围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rad/s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EE0A6" w14:textId="28D96275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0-300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D3F75" w14:textId="24AC39AB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471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84EC8" w14:textId="264FC6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0-314</w:t>
            </w:r>
          </w:p>
        </w:tc>
      </w:tr>
      <w:tr w:rsidR="006948A7" w14:paraId="2BDB21F0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751531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ACFDF" w14:textId="323CC40C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最小偏转角</w:t>
            </w:r>
            <w:proofErr w:type="spellStart"/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μrad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55409" w14:textId="23C886FB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0.05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5B5AF" w14:textId="14DCC65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12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E14D" w14:textId="61C0367C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0.05</w:t>
            </w:r>
          </w:p>
        </w:tc>
      </w:tr>
      <w:tr w:rsidR="006948A7" w14:paraId="01297EF4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B1BB4C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B148D" w14:textId="14F20CE5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7F9">
              <w:rPr>
                <w:rFonts w:ascii="Times New Roman" w:hAnsi="Times New Roman" w:cs="Times New Roman"/>
                <w:kern w:val="24"/>
              </w:rPr>
              <w:t>法</w:t>
            </w:r>
            <w:proofErr w:type="gramStart"/>
            <w:r w:rsidRPr="00D027F9">
              <w:rPr>
                <w:rFonts w:ascii="Times New Roman" w:hAnsi="Times New Roman" w:cs="Times New Roman"/>
                <w:kern w:val="24"/>
              </w:rPr>
              <w:t>向力范围</w:t>
            </w:r>
            <w:proofErr w:type="gramEnd"/>
            <w:r w:rsidRPr="00D027F9">
              <w:rPr>
                <w:rFonts w:ascii="Times New Roman" w:hAnsi="Times New Roman" w:cs="Times New Roman"/>
                <w:kern w:val="24"/>
              </w:rPr>
              <w:t>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012B4" w14:textId="0F050E6F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0.005~50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A670B" w14:textId="48DEDC36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/>
                <w:kern w:val="24"/>
              </w:rPr>
              <w:t>0.005~50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0012A" w14:textId="7250D2E1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0.005</w:t>
            </w:r>
            <w:r w:rsidRPr="006948A7">
              <w:rPr>
                <w:rFonts w:ascii="Times New Roman" w:hAnsi="Times New Roman" w:cs="Times New Roman"/>
                <w:color w:val="000000"/>
                <w:kern w:val="24"/>
              </w:rPr>
              <w:t>~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50</w:t>
            </w:r>
          </w:p>
        </w:tc>
      </w:tr>
      <w:tr w:rsidR="006948A7" w14:paraId="3428C063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A889FB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21793" w14:textId="0D896766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应变响应时间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F12C4" w14:textId="6B5061E6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 xml:space="preserve">15 </w:t>
            </w:r>
            <w:proofErr w:type="spellStart"/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ms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FDFC7" w14:textId="05C8ABCF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 xml:space="preserve">30 </w:t>
            </w:r>
            <w:proofErr w:type="spellStart"/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ms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8AD2F" w14:textId="6701FC72" w:rsidR="006948A7" w:rsidRPr="006948A7" w:rsidRDefault="00374FB3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849B1">
              <w:rPr>
                <w:rFonts w:ascii="Times New Roman" w:hAnsi="Times New Roman" w:cs="Times New Roman" w:hint="eastAsia"/>
                <w:kern w:val="0"/>
                <w:sz w:val="22"/>
                <w:szCs w:val="22"/>
              </w:rPr>
              <w:t>未提供</w:t>
            </w:r>
          </w:p>
        </w:tc>
      </w:tr>
      <w:tr w:rsidR="006948A7" w14:paraId="5E5A7931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9676A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111FE" w14:textId="3ABEB532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最大温度范围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℃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C17DD" w14:textId="18927412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室温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-</w:t>
            </w:r>
            <w:r w:rsidR="00D027F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400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C43EB" w14:textId="457BA5E3" w:rsidR="006948A7" w:rsidRPr="006948A7" w:rsidRDefault="006948A7" w:rsidP="006763CC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室温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-</w:t>
            </w:r>
            <w:r w:rsidR="00D027F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400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3E8C" w14:textId="6406BD5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室温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-</w:t>
            </w:r>
            <w:r w:rsidR="00D027F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400</w:t>
            </w:r>
          </w:p>
        </w:tc>
      </w:tr>
      <w:tr w:rsidR="006948A7" w14:paraId="40EAB6D0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9856F1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C21C2" w14:textId="0017BE44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LAOS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（大应变振幅扫描）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7F0E3" w14:textId="29EAE709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配</w:t>
            </w:r>
            <w:r w:rsidRPr="006948A7">
              <w:rPr>
                <w:rFonts w:ascii="Times New Roman" w:hAnsi="Times New Roman" w:cs="Times New Roman"/>
                <w:color w:val="000000"/>
                <w:kern w:val="24"/>
              </w:rPr>
              <w:t>置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0ED09" w14:textId="33ADFDD1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有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2516D" w14:textId="34EF0F39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有</w:t>
            </w:r>
          </w:p>
        </w:tc>
      </w:tr>
      <w:tr w:rsidR="006948A7" w14:paraId="3854F039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53D297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2C6CB" w14:textId="5227BE72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直接应变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/</w:t>
            </w: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应力控制器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12EB6" w14:textId="59C1F2DB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配置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9FB92" w14:textId="008E946E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有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4E8D3" w14:textId="78E0DD68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有</w:t>
            </w:r>
          </w:p>
        </w:tc>
      </w:tr>
      <w:tr w:rsidR="006948A7" w14:paraId="44D15958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722EC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3AE80" w14:textId="659AC761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轴承和马达的主动</w:t>
            </w:r>
            <w:proofErr w:type="gramStart"/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热管理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A143B" w14:textId="7DDFCF7E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配置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6E9F6" w14:textId="447F99A9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有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A43A2" w14:textId="319179D0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dark1"/>
                <w:kern w:val="24"/>
              </w:rPr>
              <w:t>有</w:t>
            </w:r>
          </w:p>
        </w:tc>
      </w:tr>
      <w:tr w:rsidR="006948A7" w14:paraId="75DE562B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DBE781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D2DB6" w14:textId="34FAFC6D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proofErr w:type="gramStart"/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速率阶跃时间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F5D89" w14:textId="1BB2AF9A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5ms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41003" w14:textId="31075DCB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30 </w:t>
            </w:r>
            <w:proofErr w:type="spellStart"/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ms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70241" w14:textId="02A60D1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10ms</w:t>
            </w:r>
          </w:p>
        </w:tc>
      </w:tr>
      <w:tr w:rsidR="006948A7" w14:paraId="14F86A61" w14:textId="77777777" w:rsidTr="008C2790">
        <w:trPr>
          <w:trHeight w:val="758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3ADE0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2505A" w14:textId="7B6BC3D4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角位移分辨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16EB4" w14:textId="13F8D8C8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10nrad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0B958" w14:textId="5F77E10E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15nrad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4987" w14:textId="7C59ADAE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bCs/>
                <w:color w:val="000000" w:themeColor="text1"/>
                <w:kern w:val="24"/>
              </w:rPr>
              <w:t>12nrad</w:t>
            </w:r>
          </w:p>
        </w:tc>
      </w:tr>
      <w:tr w:rsidR="006948A7" w14:paraId="15C5ED75" w14:textId="77777777" w:rsidTr="008C2790">
        <w:trPr>
          <w:trHeight w:val="667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4A12C" w14:textId="77777777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7EA1B" w14:textId="2FA9EB9A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角速率范围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CCE78" w14:textId="7C4C5ADB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0 – 300 rad/s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9C86F" w14:textId="385F8D2A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10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  <w:position w:val="7"/>
                <w:vertAlign w:val="superscript"/>
              </w:rPr>
              <w:t>-8</w:t>
            </w:r>
            <w:r w:rsidR="00D027F9">
              <w:rPr>
                <w:rFonts w:ascii="Times New Roman" w:hAnsi="Times New Roman" w:cs="Times New Roman"/>
                <w:color w:val="000000" w:themeColor="text1"/>
                <w:kern w:val="24"/>
                <w:position w:val="7"/>
                <w:vertAlign w:val="superscript"/>
              </w:rPr>
              <w:t xml:space="preserve"> 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– 314 rad/s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B0119" w14:textId="44B7485E" w:rsidR="006948A7" w:rsidRPr="006948A7" w:rsidRDefault="006948A7" w:rsidP="006948A7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10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  <w:position w:val="7"/>
                <w:vertAlign w:val="superscript"/>
              </w:rPr>
              <w:t>-8</w:t>
            </w:r>
            <w:r w:rsidR="00D027F9">
              <w:rPr>
                <w:rFonts w:ascii="Times New Roman" w:hAnsi="Times New Roman" w:cs="Times New Roman"/>
                <w:color w:val="000000" w:themeColor="text1"/>
                <w:kern w:val="24"/>
                <w:position w:val="7"/>
                <w:vertAlign w:val="superscript"/>
              </w:rPr>
              <w:t xml:space="preserve"> </w:t>
            </w:r>
            <w:r w:rsidRPr="006948A7">
              <w:rPr>
                <w:rFonts w:ascii="Times New Roman" w:hAnsi="Times New Roman" w:cs="Times New Roman"/>
                <w:color w:val="000000" w:themeColor="text1"/>
                <w:kern w:val="24"/>
              </w:rPr>
              <w:t>– 300 rad/s</w:t>
            </w:r>
          </w:p>
        </w:tc>
      </w:tr>
      <w:tr w:rsidR="00413170" w14:paraId="57646CD5" w14:textId="77777777" w:rsidTr="008C2790">
        <w:trPr>
          <w:trHeight w:val="66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81030" w14:textId="77777777" w:rsidR="00413170" w:rsidRPr="006948A7" w:rsidRDefault="00D27AF0" w:rsidP="006948A7">
            <w:pPr>
              <w:pStyle w:val="Other1"/>
              <w:spacing w:after="0" w:line="313" w:lineRule="exact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市场情况</w:t>
            </w:r>
          </w:p>
          <w:p w14:paraId="5A91C818" w14:textId="77777777" w:rsidR="00413170" w:rsidRPr="006948A7" w:rsidRDefault="00D27AF0" w:rsidP="006948A7">
            <w:pPr>
              <w:pStyle w:val="Other1"/>
              <w:spacing w:after="0" w:line="313" w:lineRule="exact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和价格比</w:t>
            </w:r>
          </w:p>
          <w:p w14:paraId="25B63113" w14:textId="77777777" w:rsidR="00413170" w:rsidRPr="006948A7" w:rsidRDefault="00D27AF0" w:rsidP="006948A7">
            <w:pPr>
              <w:pStyle w:val="Other1"/>
              <w:spacing w:after="0" w:line="313" w:lineRule="exact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57AB8" w14:textId="77777777" w:rsidR="00413170" w:rsidRPr="006948A7" w:rsidRDefault="00D27AF0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市场情况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1D65C" w14:textId="7FDCE749" w:rsidR="00413170" w:rsidRPr="006948A7" w:rsidRDefault="006948A7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lang w:eastAsia="zh-CN"/>
              </w:rPr>
              <w:t>高校使用较多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96861" w14:textId="258CB6A8" w:rsidR="00413170" w:rsidRPr="006948A7" w:rsidRDefault="006948A7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lang w:eastAsia="zh-CN"/>
              </w:rPr>
              <w:t>高校及研发机构使用较多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62CE0" w14:textId="02BE8B40" w:rsidR="00413170" w:rsidRPr="006948A7" w:rsidRDefault="006948A7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lang w:eastAsia="zh-CN"/>
              </w:rPr>
              <w:t>研发机构使用较多</w:t>
            </w:r>
          </w:p>
        </w:tc>
      </w:tr>
      <w:tr w:rsidR="00413170" w14:paraId="396B823E" w14:textId="77777777" w:rsidTr="008C2790">
        <w:trPr>
          <w:trHeight w:val="667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010F4" w14:textId="77777777" w:rsidR="00413170" w:rsidRPr="006948A7" w:rsidRDefault="00413170" w:rsidP="006948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737DB" w14:textId="77777777" w:rsidR="00413170" w:rsidRPr="00D027F9" w:rsidRDefault="00D27AF0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D027F9">
              <w:rPr>
                <w:rFonts w:ascii="Times New Roman" w:eastAsiaTheme="minorEastAsia" w:hAnsi="Times New Roman" w:cs="Times New Roman"/>
              </w:rPr>
              <w:t>价格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6B6E2" w14:textId="29CA6448" w:rsidR="00413170" w:rsidRPr="00D027F9" w:rsidRDefault="006858E3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约</w:t>
            </w:r>
            <w:r w:rsidR="006948A7" w:rsidRPr="00D027F9">
              <w:rPr>
                <w:rFonts w:ascii="Times New Roman" w:eastAsiaTheme="minorEastAsia" w:hAnsi="Times New Roman" w:cs="Times New Roman"/>
                <w:lang w:eastAsia="zh-CN"/>
              </w:rPr>
              <w:t>80</w:t>
            </w:r>
            <w:r w:rsidR="00D27AF0" w:rsidRPr="00D027F9">
              <w:rPr>
                <w:rFonts w:ascii="Times New Roman" w:eastAsiaTheme="minorEastAsia" w:hAnsi="Times New Roman" w:cs="Times New Roman"/>
              </w:rPr>
              <w:t>万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2CC59" w14:textId="5475EA82" w:rsidR="00413170" w:rsidRPr="00D027F9" w:rsidRDefault="006858E3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约</w:t>
            </w:r>
            <w:r w:rsidR="006948A7" w:rsidRPr="00D027F9">
              <w:rPr>
                <w:rFonts w:ascii="Times New Roman" w:eastAsiaTheme="minorEastAsia" w:hAnsi="Times New Roman" w:cs="Times New Roman"/>
                <w:lang w:eastAsia="zh-CN"/>
              </w:rPr>
              <w:t>75</w:t>
            </w:r>
            <w:r w:rsidR="00D27AF0" w:rsidRPr="00D027F9">
              <w:rPr>
                <w:rFonts w:ascii="Times New Roman" w:eastAsiaTheme="minorEastAsia" w:hAnsi="Times New Roman" w:cs="Times New Roman"/>
              </w:rPr>
              <w:t>万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60C6" w14:textId="4AB25A96" w:rsidR="00413170" w:rsidRPr="00D027F9" w:rsidRDefault="006858E3" w:rsidP="006948A7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lang w:val="en-US" w:eastAsia="zh-CN" w:bidi="en-US"/>
              </w:rPr>
              <w:t>约</w:t>
            </w:r>
            <w:r w:rsidR="006948A7" w:rsidRPr="00D027F9">
              <w:rPr>
                <w:rFonts w:ascii="Times New Roman" w:eastAsiaTheme="minorEastAsia" w:hAnsi="Times New Roman" w:cs="Times New Roman"/>
                <w:bCs/>
                <w:lang w:val="en-US" w:eastAsia="zh-CN" w:bidi="en-US"/>
              </w:rPr>
              <w:t>130</w:t>
            </w:r>
            <w:r w:rsidR="00D27AF0" w:rsidRPr="00D027F9">
              <w:rPr>
                <w:rFonts w:ascii="Times New Roman" w:eastAsiaTheme="minorEastAsia" w:hAnsi="Times New Roman" w:cs="Times New Roman"/>
                <w:bCs/>
                <w:lang w:val="en-US" w:eastAsia="en-US" w:bidi="en-US"/>
              </w:rPr>
              <w:t xml:space="preserve"> </w:t>
            </w:r>
            <w:r w:rsidR="00D27AF0" w:rsidRPr="00D027F9">
              <w:rPr>
                <w:rFonts w:ascii="Times New Roman" w:eastAsiaTheme="minorEastAsia" w:hAnsi="Times New Roman" w:cs="Times New Roman"/>
              </w:rPr>
              <w:t>万</w:t>
            </w:r>
          </w:p>
        </w:tc>
      </w:tr>
      <w:tr w:rsidR="00413170" w14:paraId="158CD7DE" w14:textId="77777777" w:rsidTr="00F221D1">
        <w:trPr>
          <w:trHeight w:hRule="exact" w:val="12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05718" w14:textId="77777777" w:rsidR="00413170" w:rsidRPr="006948A7" w:rsidRDefault="00D27AF0" w:rsidP="006948A7">
            <w:pPr>
              <w:pStyle w:val="Other1"/>
              <w:spacing w:after="0" w:line="240" w:lineRule="exact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售后服务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A1401" w14:textId="77777777" w:rsidR="00413170" w:rsidRPr="006948A7" w:rsidRDefault="00D27AF0" w:rsidP="006948A7">
            <w:pPr>
              <w:pStyle w:val="Other1"/>
              <w:spacing w:after="0" w:line="240" w:lineRule="exact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技术支持及</w:t>
            </w:r>
          </w:p>
          <w:p w14:paraId="5F6E2D93" w14:textId="77777777" w:rsidR="00413170" w:rsidRPr="006948A7" w:rsidRDefault="00D27AF0" w:rsidP="006948A7">
            <w:pPr>
              <w:pStyle w:val="Other1"/>
              <w:spacing w:after="0" w:line="240" w:lineRule="exact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6948A7">
              <w:rPr>
                <w:rFonts w:ascii="Times New Roman" w:eastAsiaTheme="minorEastAsia" w:hAnsi="Times New Roman" w:cs="Times New Roman"/>
                <w:color w:val="000000"/>
              </w:rPr>
              <w:t>服务响应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7C1B4" w14:textId="77777777" w:rsidR="00F8315C" w:rsidRDefault="00F8315C" w:rsidP="00F83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年质保</w:t>
            </w:r>
          </w:p>
          <w:p w14:paraId="20D7379F" w14:textId="3F329F5A" w:rsidR="00774F8D" w:rsidRPr="00043C09" w:rsidRDefault="00F221D1" w:rsidP="00F831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终身技术服务支持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D942E" w14:textId="449D3258" w:rsidR="00F221D1" w:rsidRDefault="00F221D1" w:rsidP="002130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年质保</w:t>
            </w:r>
          </w:p>
          <w:p w14:paraId="7B7D92B8" w14:textId="34CA8074" w:rsidR="00413170" w:rsidRPr="00043C09" w:rsidRDefault="00F221D1" w:rsidP="00F221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终身技术服务支持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691A4" w14:textId="77777777" w:rsidR="00F221D1" w:rsidRDefault="00F221D1" w:rsidP="00F221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年质保</w:t>
            </w:r>
          </w:p>
          <w:p w14:paraId="1B729362" w14:textId="4AB8107B" w:rsidR="00413170" w:rsidRPr="00043C09" w:rsidRDefault="00F221D1" w:rsidP="00F221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终身技术服务支持</w:t>
            </w:r>
          </w:p>
        </w:tc>
      </w:tr>
    </w:tbl>
    <w:p w14:paraId="57421B24" w14:textId="77777777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四、条件准备情况</w:t>
      </w:r>
    </w:p>
    <w:p w14:paraId="1E181676" w14:textId="1F55ADFB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实验室具备电（220V单相电源）、通风（排气系统）、实验平台（尺寸大于50 x 55 cm, 可以承</w:t>
      </w:r>
      <w:r w:rsidR="00D027F9"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50</w:t>
      </w: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Kg以上的设备）等安装条件。</w:t>
      </w:r>
    </w:p>
    <w:p w14:paraId="4DAE20EC" w14:textId="77777777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五、可能存在的安全性问题</w:t>
      </w:r>
    </w:p>
    <w:p w14:paraId="2C31D04F" w14:textId="77777777" w:rsidR="00413170" w:rsidRPr="0008450F" w:rsidRDefault="00D27AF0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0845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该设备使用过程无放射物产生，可能产生少量废气可由通风净化系统处理，不会产生安全性问题。</w:t>
      </w:r>
    </w:p>
    <w:sectPr w:rsidR="00413170" w:rsidRPr="0008450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3D942" w14:textId="77777777" w:rsidR="00FD2FE5" w:rsidRDefault="00FD2FE5">
      <w:r>
        <w:separator/>
      </w:r>
    </w:p>
  </w:endnote>
  <w:endnote w:type="continuationSeparator" w:id="0">
    <w:p w14:paraId="3811A9EC" w14:textId="77777777" w:rsidR="00FD2FE5" w:rsidRDefault="00FD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0F3F2" w14:textId="77777777" w:rsidR="00413170" w:rsidRDefault="00D27AF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BE053A" wp14:editId="33DB51DF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09CA4" w14:textId="77777777" w:rsidR="00413170" w:rsidRDefault="00D27AF0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2BBE053A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7FE09CA4" w14:textId="77777777" w:rsidR="00413170" w:rsidRDefault="00D27AF0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E6B19" w14:textId="77777777" w:rsidR="00FD2FE5" w:rsidRDefault="00FD2FE5">
      <w:r>
        <w:separator/>
      </w:r>
    </w:p>
  </w:footnote>
  <w:footnote w:type="continuationSeparator" w:id="0">
    <w:p w14:paraId="7C7C23D3" w14:textId="77777777" w:rsidR="00FD2FE5" w:rsidRDefault="00FD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32B22"/>
    <w:rsid w:val="00036918"/>
    <w:rsid w:val="0004008B"/>
    <w:rsid w:val="00043C09"/>
    <w:rsid w:val="00052A08"/>
    <w:rsid w:val="00056247"/>
    <w:rsid w:val="000728D9"/>
    <w:rsid w:val="0008450F"/>
    <w:rsid w:val="00095B1A"/>
    <w:rsid w:val="0011405E"/>
    <w:rsid w:val="00190F6B"/>
    <w:rsid w:val="001C0DCA"/>
    <w:rsid w:val="002130E3"/>
    <w:rsid w:val="0022570B"/>
    <w:rsid w:val="00232FB6"/>
    <w:rsid w:val="002B1651"/>
    <w:rsid w:val="002B33C7"/>
    <w:rsid w:val="00347E16"/>
    <w:rsid w:val="00374FB3"/>
    <w:rsid w:val="00381E33"/>
    <w:rsid w:val="00413170"/>
    <w:rsid w:val="00436212"/>
    <w:rsid w:val="004E5283"/>
    <w:rsid w:val="005B2931"/>
    <w:rsid w:val="00616DE6"/>
    <w:rsid w:val="0066382B"/>
    <w:rsid w:val="00673BF7"/>
    <w:rsid w:val="006763CC"/>
    <w:rsid w:val="006858E3"/>
    <w:rsid w:val="006948A7"/>
    <w:rsid w:val="006A5F0B"/>
    <w:rsid w:val="00721C22"/>
    <w:rsid w:val="00741CEC"/>
    <w:rsid w:val="00743CC8"/>
    <w:rsid w:val="00774F8D"/>
    <w:rsid w:val="007D3BAE"/>
    <w:rsid w:val="00831E07"/>
    <w:rsid w:val="008C2790"/>
    <w:rsid w:val="00914D35"/>
    <w:rsid w:val="00937B47"/>
    <w:rsid w:val="00987E40"/>
    <w:rsid w:val="009E0A9A"/>
    <w:rsid w:val="009E0B9D"/>
    <w:rsid w:val="00A06719"/>
    <w:rsid w:val="00A72ED7"/>
    <w:rsid w:val="00A90DAA"/>
    <w:rsid w:val="00AC542E"/>
    <w:rsid w:val="00AD041D"/>
    <w:rsid w:val="00B103B3"/>
    <w:rsid w:val="00B359DD"/>
    <w:rsid w:val="00BA3E9F"/>
    <w:rsid w:val="00BB6E85"/>
    <w:rsid w:val="00CC24EA"/>
    <w:rsid w:val="00CC6F0B"/>
    <w:rsid w:val="00D027F9"/>
    <w:rsid w:val="00D27AF0"/>
    <w:rsid w:val="00D72CA4"/>
    <w:rsid w:val="00E755F2"/>
    <w:rsid w:val="00E849B1"/>
    <w:rsid w:val="00EB7E60"/>
    <w:rsid w:val="00EE396D"/>
    <w:rsid w:val="00F06E52"/>
    <w:rsid w:val="00F221D1"/>
    <w:rsid w:val="00F67B51"/>
    <w:rsid w:val="00F8315C"/>
    <w:rsid w:val="00FD2B62"/>
    <w:rsid w:val="00FD2FE5"/>
    <w:rsid w:val="00FF10F2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C8C24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9E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E0A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E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E0A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360</cp:revision>
  <dcterms:created xsi:type="dcterms:W3CDTF">2021-12-06T02:49:00Z</dcterms:created>
  <dcterms:modified xsi:type="dcterms:W3CDTF">2022-05-12T00:13:00Z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