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D52C1" w14:textId="406F1980" w:rsidR="001045C9" w:rsidRPr="000432A6" w:rsidRDefault="00A84CF8">
      <w:pPr>
        <w:jc w:val="center"/>
        <w:rPr>
          <w:rFonts w:asciiTheme="minorEastAsia" w:hAnsiTheme="minorEastAsia" w:cs="Arial"/>
          <w:b/>
          <w:bCs/>
          <w:color w:val="000000"/>
          <w:sz w:val="32"/>
          <w:szCs w:val="32"/>
        </w:rPr>
      </w:pPr>
      <w:r w:rsidRPr="000432A6">
        <w:rPr>
          <w:rFonts w:asciiTheme="minorEastAsia" w:hAnsiTheme="minorEastAsia" w:cs="Arial"/>
          <w:b/>
          <w:bCs/>
          <w:color w:val="000000"/>
          <w:sz w:val="32"/>
          <w:szCs w:val="32"/>
        </w:rPr>
        <w:t>清源创新实验室</w:t>
      </w:r>
      <w:r w:rsidR="00817B89" w:rsidRPr="000432A6">
        <w:rPr>
          <w:rFonts w:asciiTheme="minorEastAsia" w:hAnsiTheme="minorEastAsia" w:cs="Arial"/>
          <w:b/>
          <w:bCs/>
          <w:color w:val="000000"/>
          <w:sz w:val="32"/>
          <w:szCs w:val="32"/>
        </w:rPr>
        <w:t>硫化物形态及分布测定</w:t>
      </w:r>
      <w:proofErr w:type="gramStart"/>
      <w:r w:rsidR="00817B89" w:rsidRPr="000432A6">
        <w:rPr>
          <w:rFonts w:asciiTheme="minorEastAsia" w:hAnsiTheme="minorEastAsia" w:cs="Arial"/>
          <w:b/>
          <w:bCs/>
          <w:color w:val="000000"/>
          <w:sz w:val="32"/>
          <w:szCs w:val="32"/>
        </w:rPr>
        <w:t>仪</w:t>
      </w:r>
      <w:r w:rsidRPr="000432A6">
        <w:rPr>
          <w:rFonts w:asciiTheme="minorEastAsia" w:hAnsiTheme="minorEastAsia" w:cs="Arial"/>
          <w:b/>
          <w:bCs/>
          <w:color w:val="000000"/>
          <w:sz w:val="32"/>
          <w:szCs w:val="32"/>
        </w:rPr>
        <w:t>需求</w:t>
      </w:r>
      <w:proofErr w:type="gramEnd"/>
      <w:r w:rsidRPr="000432A6">
        <w:rPr>
          <w:rFonts w:asciiTheme="minorEastAsia" w:hAnsiTheme="minorEastAsia" w:cs="Arial"/>
          <w:b/>
          <w:bCs/>
          <w:color w:val="000000"/>
          <w:sz w:val="32"/>
          <w:szCs w:val="32"/>
        </w:rPr>
        <w:t>调研情况</w:t>
      </w:r>
    </w:p>
    <w:p w14:paraId="31E8CDC4" w14:textId="77777777" w:rsidR="00786A4E" w:rsidRPr="00786A4E" w:rsidRDefault="00786A4E">
      <w:pPr>
        <w:snapToGrid w:val="0"/>
        <w:spacing w:line="540" w:lineRule="exact"/>
        <w:ind w:firstLineChars="200" w:firstLine="640"/>
        <w:jc w:val="left"/>
        <w:rPr>
          <w:rFonts w:ascii="Arial" w:eastAsia="仿宋_GB2312" w:hAnsi="Arial" w:cs="Arial"/>
          <w:color w:val="000000"/>
          <w:sz w:val="32"/>
          <w:szCs w:val="32"/>
        </w:rPr>
      </w:pPr>
    </w:p>
    <w:p w14:paraId="6F3C8BAE" w14:textId="2C32BF7C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一、仪器设备使用的项目</w:t>
      </w:r>
    </w:p>
    <w:p w14:paraId="00C77CB0" w14:textId="5B5D18A5" w:rsidR="001045C9" w:rsidRPr="000432A6" w:rsidRDefault="00A84524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硫化物形态及分布测定仪</w:t>
      </w:r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适用于分析</w:t>
      </w:r>
      <w:r w:rsidR="00CB0775" w:rsidRPr="000432A6">
        <w:rPr>
          <w:rFonts w:ascii="Arial" w:eastAsia="仿宋_GB2312" w:hAnsi="Arial" w:cs="Arial"/>
          <w:color w:val="000000"/>
          <w:sz w:val="28"/>
          <w:szCs w:val="28"/>
        </w:rPr>
        <w:t>柴油</w:t>
      </w:r>
      <w:r w:rsidR="006C47FD" w:rsidRPr="000432A6">
        <w:rPr>
          <w:rFonts w:ascii="Arial" w:eastAsia="仿宋_GB2312" w:hAnsi="Arial" w:cs="Arial"/>
          <w:color w:val="000000"/>
          <w:sz w:val="28"/>
          <w:szCs w:val="28"/>
        </w:rPr>
        <w:t>中的硫化物</w:t>
      </w:r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。</w:t>
      </w:r>
      <w:r w:rsidR="0002397C" w:rsidRPr="000432A6">
        <w:rPr>
          <w:rFonts w:ascii="Arial" w:eastAsia="仿宋_GB2312" w:hAnsi="Arial" w:cs="Arial"/>
          <w:color w:val="000000"/>
          <w:sz w:val="28"/>
          <w:szCs w:val="28"/>
        </w:rPr>
        <w:t>清源</w:t>
      </w:r>
      <w:r w:rsidR="0002397C">
        <w:rPr>
          <w:rFonts w:ascii="Arial" w:eastAsia="仿宋_GB2312" w:hAnsi="Arial" w:cs="Arial" w:hint="eastAsia"/>
          <w:color w:val="000000"/>
          <w:sz w:val="28"/>
          <w:szCs w:val="28"/>
        </w:rPr>
        <w:t>创新</w:t>
      </w:r>
      <w:r w:rsidR="0002397C" w:rsidRPr="000432A6">
        <w:rPr>
          <w:rFonts w:ascii="Arial" w:eastAsia="仿宋_GB2312" w:hAnsi="Arial" w:cs="Arial"/>
          <w:color w:val="000000"/>
          <w:sz w:val="28"/>
          <w:szCs w:val="28"/>
        </w:rPr>
        <w:t>实验室</w:t>
      </w:r>
      <w:bookmarkStart w:id="0" w:name="_GoBack"/>
      <w:bookmarkEnd w:id="0"/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计划购置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硫化物形态及分布测定仪</w:t>
      </w:r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，主要用于</w:t>
      </w:r>
      <w:r w:rsidR="00CB0775" w:rsidRPr="000432A6">
        <w:rPr>
          <w:rFonts w:ascii="Arial" w:eastAsia="仿宋_GB2312" w:hAnsi="Arial" w:cs="Arial"/>
          <w:color w:val="000000"/>
          <w:sz w:val="28"/>
          <w:szCs w:val="28"/>
        </w:rPr>
        <w:t>柴油中有机含硫化合物的定性及定量分析</w:t>
      </w:r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，可服务于实验室各相关研究方向，加速催化剂活性评价及制备工艺的优化，推动</w:t>
      </w:r>
      <w:r w:rsidR="00CB0775" w:rsidRPr="000432A6">
        <w:rPr>
          <w:rFonts w:ascii="Arial" w:eastAsia="仿宋_GB2312" w:hAnsi="Arial" w:cs="Arial"/>
          <w:color w:val="000000"/>
          <w:sz w:val="28"/>
          <w:szCs w:val="28"/>
        </w:rPr>
        <w:t>脱硫</w:t>
      </w:r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催化剂</w:t>
      </w:r>
      <w:r w:rsidR="00CB0775" w:rsidRPr="000432A6">
        <w:rPr>
          <w:rFonts w:ascii="Arial" w:eastAsia="仿宋_GB2312" w:hAnsi="Arial" w:cs="Arial"/>
          <w:color w:val="000000"/>
          <w:sz w:val="28"/>
          <w:szCs w:val="28"/>
        </w:rPr>
        <w:t>和脱硫工艺</w:t>
      </w:r>
      <w:r w:rsidR="00A84CF8" w:rsidRPr="000432A6">
        <w:rPr>
          <w:rFonts w:ascii="Arial" w:eastAsia="仿宋_GB2312" w:hAnsi="Arial" w:cs="Arial"/>
          <w:color w:val="000000"/>
          <w:sz w:val="28"/>
          <w:szCs w:val="28"/>
        </w:rPr>
        <w:t>的应用研究进程。</w:t>
      </w:r>
    </w:p>
    <w:p w14:paraId="000723C3" w14:textId="77777777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二、在该项目中所承担的任务</w:t>
      </w:r>
    </w:p>
    <w:p w14:paraId="2CF3AFAE" w14:textId="15F2ACDB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拟购置的</w:t>
      </w:r>
      <w:r w:rsidR="00A84524" w:rsidRPr="000432A6">
        <w:rPr>
          <w:rFonts w:ascii="Arial" w:eastAsia="仿宋_GB2312" w:hAnsi="Arial" w:cs="Arial"/>
          <w:color w:val="000000"/>
          <w:sz w:val="28"/>
          <w:szCs w:val="28"/>
        </w:rPr>
        <w:t>硫化物形态及分布测定仪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可以分析</w:t>
      </w:r>
      <w:r w:rsidR="00AD545C" w:rsidRPr="000432A6">
        <w:rPr>
          <w:rFonts w:ascii="Arial" w:eastAsia="仿宋_GB2312" w:hAnsi="Arial" w:cs="Arial"/>
          <w:color w:val="000000"/>
          <w:sz w:val="28"/>
          <w:szCs w:val="28"/>
        </w:rPr>
        <w:t>油品中硫化物的类型及分布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，从而确定</w:t>
      </w:r>
      <w:r w:rsidR="00CB0775" w:rsidRPr="000432A6">
        <w:rPr>
          <w:rFonts w:ascii="Arial" w:eastAsia="仿宋_GB2312" w:hAnsi="Arial" w:cs="Arial"/>
          <w:color w:val="000000"/>
          <w:sz w:val="28"/>
          <w:szCs w:val="28"/>
        </w:rPr>
        <w:t>不同来源及不同加工工艺的柴油馏分中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的</w:t>
      </w:r>
      <w:r w:rsidR="00CB0775" w:rsidRPr="000432A6">
        <w:rPr>
          <w:rFonts w:ascii="Arial" w:eastAsia="仿宋_GB2312" w:hAnsi="Arial" w:cs="Arial"/>
          <w:color w:val="000000"/>
          <w:sz w:val="28"/>
          <w:szCs w:val="28"/>
        </w:rPr>
        <w:t>硫化物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，满足不同条件下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对</w:t>
      </w:r>
      <w:r w:rsidR="00AD545C" w:rsidRPr="000432A6">
        <w:rPr>
          <w:rFonts w:ascii="Arial" w:eastAsia="仿宋_GB2312" w:hAnsi="Arial" w:cs="Arial"/>
          <w:color w:val="000000"/>
          <w:sz w:val="28"/>
          <w:szCs w:val="28"/>
        </w:rPr>
        <w:t>脱硫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催化剂活性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及脱硫工艺的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评价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的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需要，可加速以工业应用研究为目标的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柴油</w:t>
      </w:r>
      <w:r w:rsidR="00AD545C" w:rsidRPr="000432A6">
        <w:rPr>
          <w:rFonts w:ascii="Arial" w:eastAsia="仿宋_GB2312" w:hAnsi="Arial" w:cs="Arial"/>
          <w:color w:val="000000"/>
          <w:sz w:val="28"/>
          <w:szCs w:val="28"/>
        </w:rPr>
        <w:t>脱硫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项目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的研发进程。该设备的购置主要服务于清源</w:t>
      </w:r>
      <w:r w:rsidR="0002397C">
        <w:rPr>
          <w:rFonts w:ascii="Arial" w:eastAsia="仿宋_GB2312" w:hAnsi="Arial" w:cs="Arial" w:hint="eastAsia"/>
          <w:color w:val="000000"/>
          <w:sz w:val="28"/>
          <w:szCs w:val="28"/>
        </w:rPr>
        <w:t>创新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实验室</w:t>
      </w:r>
      <w:r w:rsidR="00447586" w:rsidRPr="000432A6">
        <w:rPr>
          <w:rFonts w:ascii="Arial" w:eastAsia="仿宋_GB2312" w:hAnsi="Arial" w:cs="Arial"/>
          <w:color w:val="000000"/>
          <w:sz w:val="28"/>
          <w:szCs w:val="28"/>
        </w:rPr>
        <w:t>脱硫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催化方向所承担</w:t>
      </w:r>
      <w:r w:rsidR="001F19AA" w:rsidRPr="000432A6">
        <w:rPr>
          <w:rFonts w:ascii="Arial" w:eastAsia="仿宋_GB2312" w:hAnsi="Arial" w:cs="Arial"/>
          <w:color w:val="000000"/>
          <w:sz w:val="28"/>
          <w:szCs w:val="28"/>
        </w:rPr>
        <w:t>的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国家</w:t>
      </w:r>
      <w:r w:rsidR="001F19AA" w:rsidRPr="000432A6">
        <w:rPr>
          <w:rFonts w:ascii="Arial" w:eastAsia="仿宋_GB2312" w:hAnsi="Arial" w:cs="Arial"/>
          <w:color w:val="000000"/>
          <w:sz w:val="28"/>
          <w:szCs w:val="28"/>
        </w:rPr>
        <w:t>、省部和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企业合作项目</w:t>
      </w:r>
      <w:r w:rsidR="001F19AA" w:rsidRPr="000432A6">
        <w:rPr>
          <w:rFonts w:ascii="Arial" w:eastAsia="仿宋_GB2312" w:hAnsi="Arial" w:cs="Arial"/>
          <w:color w:val="000000"/>
          <w:sz w:val="28"/>
          <w:szCs w:val="28"/>
        </w:rPr>
        <w:t>以及实验室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各类人才的培养。</w:t>
      </w:r>
    </w:p>
    <w:p w14:paraId="1BA78243" w14:textId="77777777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三、国内外同类项目所用的仪器设备及优缺点对比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1651"/>
        <w:gridCol w:w="2210"/>
        <w:gridCol w:w="1295"/>
        <w:gridCol w:w="942"/>
        <w:gridCol w:w="2543"/>
      </w:tblGrid>
      <w:tr w:rsidR="001045C9" w:rsidRPr="00786A4E" w14:paraId="69D30604" w14:textId="77777777" w:rsidTr="00AD5F17">
        <w:trPr>
          <w:trHeight w:hRule="exact" w:val="451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FBC1" w14:textId="77777777" w:rsidR="001045C9" w:rsidRPr="00786A4E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名称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C7CF" w14:textId="77777777" w:rsidR="001045C9" w:rsidRPr="00786A4E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型号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243B" w14:textId="77777777" w:rsidR="001045C9" w:rsidRPr="00786A4E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制造公司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CD55" w14:textId="77777777" w:rsidR="001045C9" w:rsidRPr="00786A4E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使用单位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E23C" w14:textId="77777777" w:rsidR="001045C9" w:rsidRPr="00786A4E" w:rsidRDefault="00A84CF8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购置时间</w:t>
            </w:r>
          </w:p>
        </w:tc>
      </w:tr>
      <w:tr w:rsidR="001045C9" w:rsidRPr="00786A4E" w14:paraId="61E27E15" w14:textId="77777777" w:rsidTr="00AD5F17">
        <w:trPr>
          <w:trHeight w:hRule="exact" w:val="709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6684C" w14:textId="77777777" w:rsidR="004E6AC5" w:rsidRDefault="00800F98" w:rsidP="00076AFB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美国</w:t>
            </w:r>
          </w:p>
          <w:p w14:paraId="5F9AA8C9" w14:textId="6624859B" w:rsidR="00A84524" w:rsidRPr="00786A4E" w:rsidRDefault="00800F98" w:rsidP="00076AFB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安捷伦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9FEFC" w14:textId="0E4448C3" w:rsidR="001045C9" w:rsidRPr="00786A4E" w:rsidRDefault="00517FFE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SCD-8890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ECD3" w14:textId="7A80B465" w:rsidR="001045C9" w:rsidRPr="00786A4E" w:rsidRDefault="00A84524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</w:rPr>
              <w:t>美国安捷伦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4E58" w14:textId="04EB31A0" w:rsidR="001045C9" w:rsidRPr="00786A4E" w:rsidRDefault="00A84524" w:rsidP="00817B89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中化泉州石化有限公司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B4AD4" w14:textId="4B2AAA40" w:rsidR="001045C9" w:rsidRPr="00786A4E" w:rsidRDefault="00786A4E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786A4E">
              <w:rPr>
                <w:rFonts w:ascii="Arial" w:eastAsiaTheme="minorEastAsia" w:hAnsi="Arial" w:cs="Arial"/>
                <w:lang w:eastAsia="zh-CN"/>
              </w:rPr>
              <w:t>不详</w:t>
            </w:r>
          </w:p>
        </w:tc>
      </w:tr>
      <w:tr w:rsidR="001045C9" w:rsidRPr="00786A4E" w14:paraId="6F6AC7EA" w14:textId="77777777" w:rsidTr="00AD5F17">
        <w:trPr>
          <w:trHeight w:hRule="exact" w:val="710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BC804" w14:textId="41033EEB" w:rsidR="001045C9" w:rsidRPr="00786A4E" w:rsidRDefault="00A84CF8" w:rsidP="00076AFB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日本</w:t>
            </w:r>
            <w:r w:rsidR="00800F98" w:rsidRPr="00786A4E">
              <w:rPr>
                <w:rFonts w:ascii="Arial" w:eastAsiaTheme="minorEastAsia" w:hAnsi="Arial" w:cs="Arial"/>
                <w:color w:val="000000"/>
              </w:rPr>
              <w:t>岛津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19DE" w14:textId="0F75B989" w:rsidR="001045C9" w:rsidRPr="00E04EAF" w:rsidRDefault="00E04EAF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</w:rPr>
            </w:pPr>
            <w:r w:rsidRPr="00E04EAF">
              <w:rPr>
                <w:rFonts w:ascii="Arial" w:eastAsiaTheme="minorEastAsia" w:hAnsi="Arial" w:cs="Arial" w:hint="eastAsia"/>
                <w:lang w:eastAsia="zh-CN"/>
              </w:rPr>
              <w:t>G</w:t>
            </w:r>
            <w:r w:rsidRPr="00E04EAF">
              <w:rPr>
                <w:rFonts w:ascii="Arial" w:eastAsia="PMingLiU" w:hAnsi="Arial" w:cs="Arial"/>
              </w:rPr>
              <w:t>C-2030</w:t>
            </w:r>
            <w:r w:rsidR="008778B8">
              <w:rPr>
                <w:rFonts w:asciiTheme="minorEastAsia" w:eastAsiaTheme="minorEastAsia" w:hAnsiTheme="minorEastAsia" w:cs="Arial" w:hint="eastAsia"/>
                <w:lang w:eastAsia="zh-CN"/>
              </w:rPr>
              <w:t>-</w:t>
            </w:r>
            <w:r w:rsidR="008778B8">
              <w:rPr>
                <w:rFonts w:ascii="Arial" w:eastAsia="PMingLiU" w:hAnsi="Arial" w:cs="Arial"/>
              </w:rPr>
              <w:t>SCD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E4060" w14:textId="6737D24F" w:rsidR="001045C9" w:rsidRPr="00E04EAF" w:rsidRDefault="00E04EAF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E04EAF">
              <w:rPr>
                <w:rFonts w:ascii="Arial" w:eastAsiaTheme="minorEastAsia" w:hAnsi="Arial" w:cs="Arial" w:hint="eastAsia"/>
                <w:lang w:eastAsia="zh-CN"/>
              </w:rPr>
              <w:t>日本岛津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87DD6" w14:textId="473483AE" w:rsidR="001045C9" w:rsidRPr="00E04EAF" w:rsidRDefault="008778B8" w:rsidP="00817B89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eastAsiaTheme="minorEastAsia" w:hAnsi="Arial" w:cs="Arial"/>
                <w:color w:val="000000"/>
                <w:lang w:eastAsia="zh-CN"/>
              </w:rPr>
            </w:pPr>
            <w:r w:rsidRPr="008778B8">
              <w:rPr>
                <w:rFonts w:ascii="Arial" w:eastAsiaTheme="minorEastAsia" w:hAnsi="Arial" w:cs="Arial" w:hint="eastAsia"/>
                <w:lang w:eastAsia="zh-CN"/>
              </w:rPr>
              <w:t>中国科学院生态环境研究中心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06837" w14:textId="54147BA6" w:rsidR="001045C9" w:rsidRPr="00E04EAF" w:rsidRDefault="00E04EAF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E04EAF">
              <w:rPr>
                <w:rFonts w:ascii="Arial" w:eastAsiaTheme="minorEastAsia" w:hAnsi="Arial" w:cs="Arial" w:hint="eastAsia"/>
                <w:lang w:eastAsia="zh-CN"/>
              </w:rPr>
              <w:t>不详</w:t>
            </w:r>
          </w:p>
        </w:tc>
      </w:tr>
      <w:tr w:rsidR="00A52849" w:rsidRPr="00786A4E" w14:paraId="6D0E8541" w14:textId="77777777" w:rsidTr="007A674E">
        <w:trPr>
          <w:trHeight w:hRule="exact" w:val="4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140C5" w14:textId="3BBD9B09" w:rsidR="00A52849" w:rsidRPr="00786A4E" w:rsidRDefault="00A52849" w:rsidP="00817B89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color w:val="000000"/>
              </w:rPr>
              <w:t>优缺点对比</w:t>
            </w:r>
          </w:p>
        </w:tc>
      </w:tr>
      <w:tr w:rsidR="00A52849" w:rsidRPr="00786A4E" w14:paraId="2023FADE" w14:textId="77777777" w:rsidTr="00AD5F17">
        <w:trPr>
          <w:trHeight w:hRule="exact" w:val="390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F796" w14:textId="77777777" w:rsidR="00A52849" w:rsidRPr="00786A4E" w:rsidRDefault="00A52849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品牌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121BD" w14:textId="77777777" w:rsidR="00A52849" w:rsidRPr="00786A4E" w:rsidRDefault="00A52849" w:rsidP="00817B89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优点</w:t>
            </w: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90225" w14:textId="77777777" w:rsidR="00A52849" w:rsidRPr="00786A4E" w:rsidRDefault="00A52849" w:rsidP="00817B89">
            <w:pPr>
              <w:pStyle w:val="Other1"/>
              <w:adjustRightInd w:val="0"/>
              <w:snapToGrid w:val="0"/>
              <w:spacing w:after="0" w:line="360" w:lineRule="auto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缺点</w:t>
            </w:r>
          </w:p>
        </w:tc>
      </w:tr>
      <w:tr w:rsidR="007A674E" w:rsidRPr="00786A4E" w14:paraId="3E92C622" w14:textId="77777777" w:rsidTr="00AD5F17">
        <w:trPr>
          <w:trHeight w:val="709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E651E" w14:textId="77777777" w:rsidR="004E6AC5" w:rsidRDefault="007A674E" w:rsidP="00076AFB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美国</w:t>
            </w:r>
          </w:p>
          <w:p w14:paraId="1F5BDDAF" w14:textId="367BEF0C" w:rsidR="007A674E" w:rsidRPr="00786A4E" w:rsidRDefault="007A674E" w:rsidP="00076AFB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安捷伦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3D8C" w14:textId="1BF67BD8" w:rsidR="007A674E" w:rsidRPr="00786A4E" w:rsidRDefault="007A674E" w:rsidP="00817B89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zh-CN"/>
              </w:rPr>
            </w:pPr>
            <w:r w:rsidRPr="00786A4E">
              <w:rPr>
                <w:rFonts w:ascii="Arial" w:hAnsi="Arial" w:cs="Arial"/>
                <w:kern w:val="0"/>
              </w:rPr>
              <w:t>分流比设定范围</w:t>
            </w:r>
            <w:r w:rsidR="00B40CFE">
              <w:rPr>
                <w:rFonts w:ascii="Arial" w:hAnsi="Arial" w:cs="Arial" w:hint="eastAsia"/>
                <w:kern w:val="0"/>
                <w:lang w:eastAsia="zh-CN"/>
              </w:rPr>
              <w:t>宽</w:t>
            </w:r>
            <w:r>
              <w:rPr>
                <w:rFonts w:ascii="Arial" w:hAnsi="Arial" w:cs="Arial" w:hint="eastAsia"/>
                <w:kern w:val="0"/>
                <w:lang w:eastAsia="zh-CN"/>
              </w:rPr>
              <w:t>，</w:t>
            </w:r>
            <w:r w:rsidRPr="007A674E">
              <w:rPr>
                <w:rFonts w:ascii="Arial" w:hAnsi="Arial" w:cs="Arial" w:hint="eastAsia"/>
                <w:kern w:val="0"/>
              </w:rPr>
              <w:t>售后技术服务好</w:t>
            </w: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F326" w14:textId="146653D1" w:rsidR="007A674E" w:rsidRPr="00786A4E" w:rsidRDefault="007A674E" w:rsidP="00817B89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786A4E">
              <w:rPr>
                <w:rFonts w:ascii="Arial" w:hAnsi="Arial" w:cs="Arial"/>
                <w:kern w:val="0"/>
              </w:rPr>
              <w:t>进样口最高使用温度</w:t>
            </w:r>
            <w:r>
              <w:rPr>
                <w:rFonts w:ascii="Arial" w:hAnsi="Arial" w:cs="Arial" w:hint="eastAsia"/>
                <w:kern w:val="0"/>
                <w:lang w:eastAsia="zh-CN"/>
              </w:rPr>
              <w:t>低</w:t>
            </w:r>
          </w:p>
        </w:tc>
      </w:tr>
      <w:tr w:rsidR="00016790" w:rsidRPr="00786A4E" w14:paraId="746A7E61" w14:textId="77777777" w:rsidTr="00AD5F17">
        <w:trPr>
          <w:trHeight w:val="709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7CB37" w14:textId="509C41B4" w:rsidR="00016790" w:rsidRPr="00786A4E" w:rsidRDefault="00016790" w:rsidP="00651BF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highlight w:val="yellow"/>
              </w:rPr>
            </w:pPr>
            <w:r w:rsidRPr="00651BF0">
              <w:rPr>
                <w:rFonts w:ascii="Arial" w:eastAsiaTheme="minorEastAsia" w:hAnsi="Arial" w:cs="Arial"/>
                <w:color w:val="000000"/>
              </w:rPr>
              <w:t>日本岛津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BADAF" w14:textId="6BEDF098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highlight w:val="yellow"/>
                <w:lang w:eastAsia="zh-CN"/>
              </w:rPr>
            </w:pPr>
            <w:r>
              <w:rPr>
                <w:rFonts w:ascii="Arial" w:hAnsi="Arial" w:cs="Arial"/>
                <w:kern w:val="0"/>
              </w:rPr>
              <w:t>柱温箱升温</w:t>
            </w:r>
            <w:r>
              <w:rPr>
                <w:rFonts w:ascii="Arial" w:hAnsi="Arial" w:cs="Arial" w:hint="eastAsia"/>
                <w:kern w:val="0"/>
                <w:lang w:eastAsia="zh-CN"/>
              </w:rPr>
              <w:t>速率快，</w:t>
            </w:r>
            <w:r w:rsidRPr="00016790">
              <w:rPr>
                <w:rFonts w:ascii="Arial" w:eastAsiaTheme="minorEastAsia" w:hAnsi="Arial" w:cs="Arial"/>
                <w:color w:val="000000"/>
                <w:lang w:val="en-US" w:eastAsia="zh-CN"/>
              </w:rPr>
              <w:t>进样口使用温度</w:t>
            </w:r>
            <w:r w:rsidRPr="00016790">
              <w:rPr>
                <w:rFonts w:ascii="Arial" w:eastAsiaTheme="minorEastAsia" w:hAnsi="Arial" w:cs="Arial" w:hint="eastAsia"/>
                <w:color w:val="000000"/>
                <w:lang w:val="en-US" w:eastAsia="zh-CN"/>
              </w:rPr>
              <w:t>高</w:t>
            </w:r>
          </w:p>
        </w:tc>
        <w:tc>
          <w:tcPr>
            <w:tcW w:w="2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62BC9" w14:textId="19390B7F" w:rsidR="00016790" w:rsidRPr="00016790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highlight w:val="yellow"/>
              </w:rPr>
            </w:pPr>
            <w:r w:rsidRPr="00786A4E">
              <w:rPr>
                <w:rFonts w:ascii="Arial" w:hAnsi="Arial" w:cs="Arial"/>
                <w:kern w:val="0"/>
              </w:rPr>
              <w:t>分流比设定范围</w:t>
            </w:r>
            <w:r>
              <w:rPr>
                <w:rFonts w:ascii="Arial" w:hAnsi="Arial" w:cs="Arial" w:hint="eastAsia"/>
                <w:kern w:val="0"/>
                <w:lang w:eastAsia="zh-CN"/>
              </w:rPr>
              <w:t>窄</w:t>
            </w:r>
          </w:p>
        </w:tc>
      </w:tr>
      <w:tr w:rsidR="00016790" w:rsidRPr="00786A4E" w14:paraId="43CCCC4D" w14:textId="77777777" w:rsidTr="00517FFE">
        <w:trPr>
          <w:trHeight w:hRule="exact" w:val="50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FF6D2" w14:textId="7B83ED4D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left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同类项目所用仪器设备的优缺点</w:t>
            </w:r>
          </w:p>
        </w:tc>
      </w:tr>
      <w:tr w:rsidR="00016790" w:rsidRPr="00786A4E" w14:paraId="75F08873" w14:textId="77777777" w:rsidTr="00517FFE">
        <w:trPr>
          <w:trHeight w:hRule="exact" w:val="663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6831C" w14:textId="77777777" w:rsidR="00016790" w:rsidRPr="00786A4E" w:rsidRDefault="00016790" w:rsidP="0001679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类别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09A8C" w14:textId="77777777" w:rsidR="00016790" w:rsidRPr="00786A4E" w:rsidRDefault="00016790" w:rsidP="0001679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项目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A5644" w14:textId="3AB1E375" w:rsidR="00016790" w:rsidRPr="00786A4E" w:rsidRDefault="00016790" w:rsidP="0001679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  <w:lang w:eastAsia="zh-CN"/>
              </w:rPr>
              <w:t>日本岛津</w:t>
            </w:r>
          </w:p>
          <w:p w14:paraId="25E1558D" w14:textId="77777777" w:rsidR="00016790" w:rsidRPr="00786A4E" w:rsidRDefault="00016790" w:rsidP="00016790">
            <w:pPr>
              <w:pStyle w:val="Other1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786A4E">
              <w:rPr>
                <w:rFonts w:ascii="Arial" w:hAnsi="Arial" w:cs="Arial"/>
                <w:color w:val="000000"/>
                <w:lang w:val="en-US"/>
              </w:rPr>
              <w:t>Nexis GC-2030+SCD-2030</w:t>
            </w:r>
          </w:p>
          <w:p w14:paraId="1055AA61" w14:textId="0F09E5DB" w:rsidR="00016790" w:rsidRPr="00786A4E" w:rsidRDefault="00016790" w:rsidP="0001679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7A5EC" w14:textId="06AE3B5D" w:rsidR="00016790" w:rsidRPr="00786A4E" w:rsidRDefault="00016790" w:rsidP="0001679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美国安捷伦</w:t>
            </w:r>
          </w:p>
          <w:p w14:paraId="74C31E8D" w14:textId="77777777" w:rsidR="00016790" w:rsidRPr="00786A4E" w:rsidRDefault="00016790" w:rsidP="00016790">
            <w:pPr>
              <w:pStyle w:val="Other1"/>
              <w:adjustRightInd w:val="0"/>
              <w:snapToGrid w:val="0"/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786A4E">
              <w:rPr>
                <w:rFonts w:ascii="Arial" w:hAnsi="Arial" w:cs="Arial"/>
                <w:color w:val="000000"/>
                <w:lang w:val="en-US"/>
              </w:rPr>
              <w:t>Agilent GC-8890+SCD</w:t>
            </w:r>
          </w:p>
          <w:p w14:paraId="67745BBE" w14:textId="513837D7" w:rsidR="00016790" w:rsidRPr="00786A4E" w:rsidRDefault="00016790" w:rsidP="00016790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016790" w:rsidRPr="00786A4E" w14:paraId="514A89D7" w14:textId="77777777" w:rsidTr="00817B89">
        <w:trPr>
          <w:trHeight w:val="20"/>
          <w:jc w:val="center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F8A5B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主要性能</w:t>
            </w:r>
          </w:p>
          <w:p w14:paraId="145B922A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lastRenderedPageBreak/>
              <w:t>指标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30537" w14:textId="3046D58D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峰面积重复性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BCC0C" w14:textId="2DD37734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＜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0.5%RSD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08DBF" w14:textId="106C9DFA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＜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0.5%RSD</w:t>
            </w:r>
          </w:p>
        </w:tc>
      </w:tr>
      <w:tr w:rsidR="00016790" w:rsidRPr="00786A4E" w14:paraId="785EFCBB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6D273" w14:textId="77777777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5B59" w14:textId="4ACFC0F4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GC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平台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12970" w14:textId="622A3244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2030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主机平台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2AE20" w14:textId="02C4AD56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8890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主机平台</w:t>
            </w:r>
          </w:p>
        </w:tc>
      </w:tr>
      <w:tr w:rsidR="00016790" w:rsidRPr="00786A4E" w14:paraId="60CB2A2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27C7B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E5FEA" w14:textId="10CCEE75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柱温箱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操作温度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56C4" w14:textId="151A752B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～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450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59B14" w14:textId="3D49E5EB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4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～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450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</w:p>
        </w:tc>
      </w:tr>
      <w:tr w:rsidR="00016790" w:rsidRPr="00786A4E" w14:paraId="0577270E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1C01FC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5241E" w14:textId="3F0DB2D5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柱温箱最大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升温速度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7919B" w14:textId="0C43B595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180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/min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6F879" w14:textId="16E572C5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120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/min</w:t>
            </w:r>
          </w:p>
        </w:tc>
      </w:tr>
      <w:tr w:rsidR="00016790" w:rsidRPr="00786A4E" w14:paraId="4BA108C1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2098B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501F1" w14:textId="7D34813F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进样</w:t>
            </w: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口最高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使用温度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882B2" w14:textId="353ABFBE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430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23B0" w14:textId="2B4E807A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</w:p>
        </w:tc>
      </w:tr>
      <w:tr w:rsidR="00016790" w:rsidRPr="00786A4E" w14:paraId="5ACBBD4F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D9AA94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1E121" w14:textId="695C55D5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柱温箱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冷却速度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6A872" w14:textId="4A46A882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从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450 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降到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50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≤3.5min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90D30" w14:textId="7A4B0F77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从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450 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降到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50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 xml:space="preserve"> ≤4min</w:t>
            </w:r>
          </w:p>
        </w:tc>
      </w:tr>
      <w:tr w:rsidR="00016790" w:rsidRPr="00786A4E" w14:paraId="6F8C14D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2A557E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9BCA" w14:textId="19E4A63D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柱温箱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温度稳定性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B6621" w14:textId="752751A6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周围温度每变化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，</w:t>
            </w: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柱箱温度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变化小于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0.01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8070" w14:textId="30BA41CA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周围温度每变化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，</w:t>
            </w:r>
            <w:proofErr w:type="gramStart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柱箱温度</w:t>
            </w:r>
            <w:proofErr w:type="gramEnd"/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变化小于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0.01</w:t>
            </w:r>
            <w:r w:rsidRPr="00786A4E">
              <w:rPr>
                <w:rFonts w:ascii="微软雅黑" w:eastAsia="微软雅黑" w:hAnsi="微软雅黑" w:cs="微软雅黑" w:hint="eastAsia"/>
                <w:kern w:val="0"/>
                <w:sz w:val="22"/>
                <w:szCs w:val="22"/>
              </w:rPr>
              <w:t>℃</w:t>
            </w:r>
          </w:p>
        </w:tc>
      </w:tr>
      <w:tr w:rsidR="00016790" w:rsidRPr="00786A4E" w14:paraId="75C5D54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68E4C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DD399" w14:textId="4D4C4F6F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分流比设定范围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B7431" w14:textId="08AA0B11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0~9000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54CF3" w14:textId="3E31EE0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0~12500</w:t>
            </w:r>
          </w:p>
        </w:tc>
      </w:tr>
      <w:tr w:rsidR="00016790" w:rsidRPr="00786A4E" w14:paraId="29E6E3A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2E353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7B05C" w14:textId="07ED4506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压力控制精度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57EA7" w14:textId="46CA6BB1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0.001psi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8C693" w14:textId="4B85C75A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0.001psi</w:t>
            </w:r>
          </w:p>
        </w:tc>
      </w:tr>
      <w:tr w:rsidR="00016790" w:rsidRPr="00786A4E" w14:paraId="452CB90B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C70D7B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D1B4C" w14:textId="754CBD10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压力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D16DC" w14:textId="6A76D547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0~147psi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；压力控制精度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0.001psi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F778" w14:textId="04F5DD90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0~100psi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；压力控制精度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0.001psi</w:t>
            </w:r>
          </w:p>
        </w:tc>
      </w:tr>
      <w:tr w:rsidR="00016790" w:rsidRPr="00786A4E" w14:paraId="454E45AF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046191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FA90F" w14:textId="5D0E199F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FID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检测器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54C76" w14:textId="701A3059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无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3248E" w14:textId="565B671A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无</w:t>
            </w:r>
          </w:p>
        </w:tc>
      </w:tr>
      <w:tr w:rsidR="00016790" w:rsidRPr="00786A4E" w14:paraId="690BF9A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551F5B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0C931" w14:textId="49AAAFDB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硫化学发光检测器（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SCD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）最小检出限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31C44" w14:textId="57C5FF8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0.1ppm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030C7" w14:textId="3F82F2F6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0.1ppm</w:t>
            </w:r>
          </w:p>
        </w:tc>
      </w:tr>
      <w:tr w:rsidR="00016790" w:rsidRPr="00786A4E" w14:paraId="718AC8A0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D761D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91480" w14:textId="0D3EFBE7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SCD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线性动态范围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41D70" w14:textId="52E67C09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  <w:highlight w:val="yellow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&gt;10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A083D" w14:textId="51E6E8F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&gt;10</w:t>
            </w:r>
            <w:r w:rsidRPr="00786A4E">
              <w:rPr>
                <w:rFonts w:ascii="Arial" w:hAnsi="Arial" w:cs="Arial"/>
                <w:kern w:val="0"/>
                <w:sz w:val="22"/>
                <w:szCs w:val="22"/>
                <w:vertAlign w:val="superscript"/>
              </w:rPr>
              <w:t>4</w:t>
            </w:r>
          </w:p>
        </w:tc>
      </w:tr>
      <w:tr w:rsidR="00016790" w:rsidRPr="00786A4E" w14:paraId="50B8561B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B0E1D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94E84" w14:textId="6D6E8E10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数据采集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611F2" w14:textId="454CDC1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是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B2B49" w14:textId="30A46E4B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是</w:t>
            </w:r>
          </w:p>
        </w:tc>
      </w:tr>
      <w:tr w:rsidR="00016790" w:rsidRPr="00786A4E" w14:paraId="6D635463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C62BC8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A6F06" w14:textId="446E5A14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数据检索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20B13" w14:textId="00ED73BA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是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FC633" w14:textId="307D5CAB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是</w:t>
            </w:r>
          </w:p>
        </w:tc>
      </w:tr>
      <w:tr w:rsidR="00016790" w:rsidRPr="00786A4E" w14:paraId="682379F9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F925D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EFDE2" w14:textId="10474A55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分析结果报告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EA9EF" w14:textId="5458EB81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是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FFB5" w14:textId="724FA1F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86A4E">
              <w:rPr>
                <w:rFonts w:ascii="Arial" w:hAnsi="Arial" w:cs="Arial"/>
                <w:kern w:val="0"/>
                <w:sz w:val="22"/>
                <w:szCs w:val="22"/>
              </w:rPr>
              <w:t>是</w:t>
            </w:r>
          </w:p>
        </w:tc>
      </w:tr>
      <w:tr w:rsidR="00016790" w:rsidRPr="00786A4E" w14:paraId="74936DAD" w14:textId="77777777" w:rsidTr="00817B89">
        <w:trPr>
          <w:trHeight w:val="20"/>
          <w:jc w:val="center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7A033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市场情况</w:t>
            </w:r>
          </w:p>
          <w:p w14:paraId="6319CD92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和价格比</w:t>
            </w:r>
          </w:p>
          <w:p w14:paraId="6FF03C6B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AC1AA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市场情况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48D12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研发机构使用较多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F854" w14:textId="505ECE60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  <w:lang w:eastAsia="zh-CN"/>
              </w:rPr>
              <w:t>高校</w:t>
            </w:r>
            <w:r w:rsidRPr="00786A4E">
              <w:rPr>
                <w:rFonts w:ascii="Arial" w:eastAsiaTheme="minorEastAsia" w:hAnsi="Arial" w:cs="Arial"/>
                <w:color w:val="000000"/>
              </w:rPr>
              <w:t>使用</w:t>
            </w:r>
            <w:r w:rsidRPr="00786A4E">
              <w:rPr>
                <w:rFonts w:ascii="Arial" w:eastAsiaTheme="minorEastAsia" w:hAnsi="Arial" w:cs="Arial"/>
                <w:color w:val="000000"/>
                <w:lang w:eastAsia="zh-CN"/>
              </w:rPr>
              <w:t>较多</w:t>
            </w:r>
          </w:p>
        </w:tc>
      </w:tr>
      <w:tr w:rsidR="00016790" w:rsidRPr="00786A4E" w14:paraId="0942748A" w14:textId="77777777" w:rsidTr="00817B89">
        <w:trPr>
          <w:trHeight w:val="20"/>
          <w:jc w:val="center"/>
        </w:trPr>
        <w:tc>
          <w:tcPr>
            <w:tcW w:w="5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38AC5" w14:textId="77777777" w:rsidR="00016790" w:rsidRPr="00786A4E" w:rsidRDefault="00016790" w:rsidP="0001679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F8A65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价格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D34EE" w14:textId="0F33AA5F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lang w:eastAsia="zh-CN"/>
              </w:rPr>
              <w:t>约</w:t>
            </w:r>
            <w:r w:rsidRPr="00786A4E">
              <w:rPr>
                <w:rFonts w:ascii="Arial" w:eastAsiaTheme="minorEastAsia" w:hAnsi="Arial" w:cs="Arial"/>
                <w:b/>
                <w:bCs/>
                <w:color w:val="000000"/>
                <w:lang w:eastAsia="zh-CN"/>
              </w:rPr>
              <w:t>63</w:t>
            </w:r>
            <w:r w:rsidRPr="00786A4E">
              <w:rPr>
                <w:rFonts w:ascii="Arial" w:eastAsiaTheme="minorEastAsia" w:hAnsi="Arial" w:cs="Arial"/>
                <w:color w:val="000000"/>
              </w:rPr>
              <w:t>万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5AC8" w14:textId="4C1BBAAE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000000"/>
                <w:lang w:eastAsia="zh-CN"/>
              </w:rPr>
              <w:t>约</w:t>
            </w:r>
            <w:r w:rsidRPr="00786A4E">
              <w:rPr>
                <w:rFonts w:ascii="Arial" w:eastAsiaTheme="minorEastAsia" w:hAnsi="Arial" w:cs="Arial"/>
                <w:b/>
                <w:bCs/>
                <w:color w:val="000000"/>
              </w:rPr>
              <w:t>6</w:t>
            </w:r>
            <w:r w:rsidRPr="00786A4E">
              <w:rPr>
                <w:rFonts w:ascii="Arial" w:eastAsiaTheme="minorEastAsia" w:hAnsi="Arial" w:cs="Arial"/>
                <w:b/>
                <w:bCs/>
                <w:color w:val="000000"/>
                <w:lang w:eastAsia="zh-CN"/>
              </w:rPr>
              <w:t>9</w:t>
            </w:r>
            <w:r w:rsidRPr="00786A4E">
              <w:rPr>
                <w:rFonts w:ascii="Arial" w:eastAsiaTheme="minorEastAsia" w:hAnsi="Arial" w:cs="Arial"/>
                <w:color w:val="000000"/>
              </w:rPr>
              <w:t>万</w:t>
            </w:r>
          </w:p>
        </w:tc>
      </w:tr>
      <w:tr w:rsidR="00016790" w:rsidRPr="00786A4E" w14:paraId="45BD5C34" w14:textId="77777777" w:rsidTr="00817B89">
        <w:trPr>
          <w:trHeight w:val="20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D895B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售后服务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B3CE1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技术支持及</w:t>
            </w:r>
          </w:p>
          <w:p w14:paraId="662B4EE4" w14:textId="77777777" w:rsidR="00016790" w:rsidRPr="00786A4E" w:rsidRDefault="00016790" w:rsidP="00016790">
            <w:pPr>
              <w:pStyle w:val="Other1"/>
              <w:spacing w:after="0" w:line="360" w:lineRule="auto"/>
              <w:ind w:firstLine="0"/>
              <w:jc w:val="center"/>
              <w:rPr>
                <w:rFonts w:ascii="Arial" w:eastAsiaTheme="minorEastAsia" w:hAnsi="Arial" w:cs="Arial"/>
              </w:rPr>
            </w:pPr>
            <w:r w:rsidRPr="00786A4E">
              <w:rPr>
                <w:rFonts w:ascii="Arial" w:eastAsiaTheme="minorEastAsia" w:hAnsi="Arial" w:cs="Arial"/>
                <w:color w:val="000000"/>
              </w:rPr>
              <w:t>服务响应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E61CA" w14:textId="2119C7B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sz w:val="22"/>
                <w:szCs w:val="22"/>
              </w:rPr>
              <w:t>上门安装服务，免费保修</w:t>
            </w:r>
            <w:r w:rsidRPr="00786A4E">
              <w:rPr>
                <w:rFonts w:ascii="Arial" w:hAnsi="Arial" w:cs="Arial"/>
                <w:sz w:val="22"/>
                <w:szCs w:val="22"/>
              </w:rPr>
              <w:t>1</w:t>
            </w:r>
            <w:r w:rsidRPr="00786A4E">
              <w:rPr>
                <w:rFonts w:ascii="Arial" w:hAnsi="Arial" w:cs="Arial"/>
                <w:sz w:val="22"/>
                <w:szCs w:val="22"/>
              </w:rPr>
              <w:t>年；对仪器提供永久的技术支持和优良的售后服务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047C0" w14:textId="13873798" w:rsidR="00016790" w:rsidRPr="00786A4E" w:rsidRDefault="00016790" w:rsidP="000167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6A4E">
              <w:rPr>
                <w:rFonts w:ascii="Arial" w:hAnsi="Arial" w:cs="Arial"/>
                <w:sz w:val="22"/>
                <w:szCs w:val="22"/>
              </w:rPr>
              <w:t>上门安装服务，免费保修</w:t>
            </w:r>
            <w:r w:rsidRPr="00786A4E">
              <w:rPr>
                <w:rFonts w:ascii="Arial" w:hAnsi="Arial" w:cs="Arial"/>
                <w:sz w:val="22"/>
                <w:szCs w:val="22"/>
              </w:rPr>
              <w:t>1</w:t>
            </w:r>
            <w:r w:rsidRPr="00786A4E">
              <w:rPr>
                <w:rFonts w:ascii="Arial" w:hAnsi="Arial" w:cs="Arial"/>
                <w:sz w:val="22"/>
                <w:szCs w:val="22"/>
              </w:rPr>
              <w:t>年；对用户应用技术上的问题给予免费技术支持；对仪器提供终身售后服务及备品备件供应</w:t>
            </w:r>
          </w:p>
        </w:tc>
      </w:tr>
    </w:tbl>
    <w:p w14:paraId="0C870D5D" w14:textId="77777777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lastRenderedPageBreak/>
        <w:t>四、条件准备情况</w:t>
      </w:r>
    </w:p>
    <w:p w14:paraId="34184D6D" w14:textId="17590ACA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实验室具备电（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220V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单相电源）、通风（排气系统）、实验平台（尺寸大于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 xml:space="preserve">50 x 55 cm, 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可以承</w:t>
      </w:r>
      <w:r w:rsidR="00087CE8" w:rsidRPr="000432A6">
        <w:rPr>
          <w:rFonts w:ascii="Arial" w:eastAsia="仿宋_GB2312" w:hAnsi="Arial" w:cs="Arial"/>
          <w:color w:val="000000"/>
          <w:sz w:val="28"/>
          <w:szCs w:val="28"/>
        </w:rPr>
        <w:t>50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Kg</w:t>
      </w:r>
      <w:r w:rsidRPr="000432A6">
        <w:rPr>
          <w:rFonts w:ascii="Arial" w:eastAsia="仿宋_GB2312" w:hAnsi="Arial" w:cs="Arial"/>
          <w:color w:val="000000"/>
          <w:sz w:val="28"/>
          <w:szCs w:val="28"/>
        </w:rPr>
        <w:t>以上的设备）等安装条件。</w:t>
      </w:r>
    </w:p>
    <w:p w14:paraId="13998E22" w14:textId="77777777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五、可能存在的安全性问题</w:t>
      </w:r>
    </w:p>
    <w:p w14:paraId="04EE58C4" w14:textId="77777777" w:rsidR="001045C9" w:rsidRPr="000432A6" w:rsidRDefault="00A84CF8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0432A6">
        <w:rPr>
          <w:rFonts w:ascii="Arial" w:eastAsia="仿宋_GB2312" w:hAnsi="Arial" w:cs="Arial"/>
          <w:color w:val="000000"/>
          <w:sz w:val="28"/>
          <w:szCs w:val="28"/>
        </w:rPr>
        <w:t>该设备使用过程无放射物产生，可能产生少量废气可由通风净化系统处理，不会产生安全性问题。</w:t>
      </w:r>
    </w:p>
    <w:sectPr w:rsidR="001045C9" w:rsidRPr="000432A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1840F" w14:textId="77777777" w:rsidR="00B609C4" w:rsidRDefault="00B609C4">
      <w:r>
        <w:separator/>
      </w:r>
    </w:p>
  </w:endnote>
  <w:endnote w:type="continuationSeparator" w:id="0">
    <w:p w14:paraId="65E44C7D" w14:textId="77777777" w:rsidR="00B609C4" w:rsidRDefault="00B6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3DE" w14:textId="77777777" w:rsidR="001045C9" w:rsidRDefault="00A84C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EE676E" wp14:editId="0702D6FC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E23DE" w14:textId="77777777" w:rsidR="001045C9" w:rsidRDefault="00A84CF8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AEE676E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12FE23DE" w14:textId="77777777" w:rsidR="001045C9" w:rsidRDefault="00A84CF8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2DECC" w14:textId="77777777" w:rsidR="00B609C4" w:rsidRDefault="00B609C4">
      <w:r>
        <w:separator/>
      </w:r>
    </w:p>
  </w:footnote>
  <w:footnote w:type="continuationSeparator" w:id="0">
    <w:p w14:paraId="1BC15A78" w14:textId="77777777" w:rsidR="00B609C4" w:rsidRDefault="00B6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16790"/>
    <w:rsid w:val="0002397C"/>
    <w:rsid w:val="00031E07"/>
    <w:rsid w:val="0004008B"/>
    <w:rsid w:val="000432A6"/>
    <w:rsid w:val="00052A08"/>
    <w:rsid w:val="00054818"/>
    <w:rsid w:val="000728D9"/>
    <w:rsid w:val="00076AFB"/>
    <w:rsid w:val="00087CE8"/>
    <w:rsid w:val="001045C9"/>
    <w:rsid w:val="00196131"/>
    <w:rsid w:val="001B2837"/>
    <w:rsid w:val="001F19AA"/>
    <w:rsid w:val="0025306F"/>
    <w:rsid w:val="002B1651"/>
    <w:rsid w:val="002B46A6"/>
    <w:rsid w:val="003243D9"/>
    <w:rsid w:val="00381E33"/>
    <w:rsid w:val="003C2E3D"/>
    <w:rsid w:val="003C4A6C"/>
    <w:rsid w:val="003D709E"/>
    <w:rsid w:val="00447586"/>
    <w:rsid w:val="00460ECF"/>
    <w:rsid w:val="0047422C"/>
    <w:rsid w:val="004E5283"/>
    <w:rsid w:val="004E6AC5"/>
    <w:rsid w:val="00517FFE"/>
    <w:rsid w:val="006431B8"/>
    <w:rsid w:val="00651BF0"/>
    <w:rsid w:val="006C47FD"/>
    <w:rsid w:val="0078322D"/>
    <w:rsid w:val="00786A4E"/>
    <w:rsid w:val="007A674E"/>
    <w:rsid w:val="007B3FE0"/>
    <w:rsid w:val="007E781C"/>
    <w:rsid w:val="00800F98"/>
    <w:rsid w:val="00817B89"/>
    <w:rsid w:val="00876BF3"/>
    <w:rsid w:val="008778B8"/>
    <w:rsid w:val="00887649"/>
    <w:rsid w:val="00887B45"/>
    <w:rsid w:val="008E7CB8"/>
    <w:rsid w:val="0095294D"/>
    <w:rsid w:val="0099678F"/>
    <w:rsid w:val="00A352D7"/>
    <w:rsid w:val="00A52849"/>
    <w:rsid w:val="00A71122"/>
    <w:rsid w:val="00A84524"/>
    <w:rsid w:val="00A84CF8"/>
    <w:rsid w:val="00AC6902"/>
    <w:rsid w:val="00AD545C"/>
    <w:rsid w:val="00AD5F17"/>
    <w:rsid w:val="00AE6F87"/>
    <w:rsid w:val="00B13495"/>
    <w:rsid w:val="00B23CFF"/>
    <w:rsid w:val="00B40CFE"/>
    <w:rsid w:val="00B609C4"/>
    <w:rsid w:val="00B66063"/>
    <w:rsid w:val="00B86F11"/>
    <w:rsid w:val="00BD2526"/>
    <w:rsid w:val="00C5367C"/>
    <w:rsid w:val="00CB0775"/>
    <w:rsid w:val="00CD6A2E"/>
    <w:rsid w:val="00DE10FE"/>
    <w:rsid w:val="00E017F9"/>
    <w:rsid w:val="00E04EAF"/>
    <w:rsid w:val="00EB7E60"/>
    <w:rsid w:val="00F41CC6"/>
    <w:rsid w:val="00F50CCF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25B2C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6C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47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C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C47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246</cp:revision>
  <dcterms:created xsi:type="dcterms:W3CDTF">2021-12-06T02:49:00Z</dcterms:created>
  <dcterms:modified xsi:type="dcterms:W3CDTF">2022-05-12T00:11:00Z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