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sz w:val="44"/>
          <w:szCs w:val="44"/>
        </w:rPr>
        <w:t>清源创新实验室自动滤料测试仪需求调研情况</w:t>
      </w:r>
    </w:p>
    <w:p>
      <w:pPr>
        <w:snapToGrid w:val="0"/>
        <w:spacing w:line="540" w:lineRule="exact"/>
        <w:ind w:firstLine="640" w:firstLineChars="200"/>
        <w:jc w:val="left"/>
        <w:rPr>
          <w:rFonts w:ascii="仿宋_GB2312" w:hAnsi="仿宋_GB2312" w:eastAsia="仿宋_GB2312" w:cs="仿宋_GB2312"/>
          <w:color w:val="000000"/>
          <w:sz w:val="32"/>
          <w:szCs w:val="32"/>
        </w:rPr>
      </w:pPr>
      <w:bookmarkStart w:id="0" w:name="_GoBack"/>
      <w:r>
        <w:rPr>
          <w:rFonts w:hint="eastAsia" w:ascii="仿宋_GB2312" w:hAnsi="仿宋_GB2312" w:eastAsia="仿宋_GB2312" w:cs="仿宋_GB2312"/>
          <w:color w:val="000000"/>
          <w:sz w:val="32"/>
          <w:szCs w:val="32"/>
        </w:rPr>
        <w:t>一、仪器设备使用的项目</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福建化学工程科学与技术创新实验室(清源创新实验室)测试中心拟购置自动滤料测试仪，用于完成各个粒径下的颗粒物分级过滤效率的测量，并具备极高的重复精度。清源创新实验室将承担大量科研和研究生培养工作，但目前没有自动滤料测试仪，无法开展相关的研究工作。鉴于上述情况，测试中心经过多轮讨论，一致认为，自动滤料测试仪是清源创新实验室目前需求迫切、能发挥较大效益的测试仪器。所以清源创新实验室测试中心申请购置一台主要服务于清源创新实验室、以测试为主、性能指标能够满足常规科研和教学需要、精确度高、性能稳定可靠的自动滤料测试仪。</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二、在该项目中所承担的任务</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动滤料测试仪是滤料开发过程一种先进的表征仪器，可以完成各个粒径下的颗粒物分级过滤效率的测量，并具备极高的重复精度。自动滤料测试仪用于抽吸模式下的分离效率、压差、容尘量和重量分析效率测试，能够满足纺织科学技术、安全科学技术领域的过滤材料物理性能测试，广泛用于口罩及熔喷布、发动机进气滤清器、空调滤清器及通风设备滤材的研发及生产。因此该设备可为本单位各研究方向使用，特别是纤维材料等领域。更重要的是，该设备具有高分辨检测功能，能对物质的结构进行精细表征，反应更全面的物性信息，提升研究的准确度和深度。该设备的引入，有利于促进清源创新实验室在纤维材料等领域的研发工作，提升科研分析方面的水平，提高研究生的综合知识和创新能力。</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三、国内外同类项目所用的仪器设备及优缺点对</w:t>
      </w:r>
      <w:bookmarkEnd w:id="0"/>
      <w:r>
        <w:rPr>
          <w:rFonts w:hint="eastAsia" w:ascii="仿宋_GB2312" w:hAnsi="仿宋_GB2312" w:eastAsia="仿宋_GB2312" w:cs="仿宋_GB2312"/>
          <w:color w:val="000000"/>
          <w:sz w:val="32"/>
          <w:szCs w:val="32"/>
        </w:rPr>
        <w:t>比</w:t>
      </w:r>
    </w:p>
    <w:p>
      <w:pPr>
        <w:snapToGrid w:val="0"/>
        <w:spacing w:line="540" w:lineRule="exact"/>
        <w:ind w:firstLine="643" w:firstLineChars="200"/>
        <w:jc w:val="left"/>
        <w:rPr>
          <w:rFonts w:ascii="仿宋_GB2312" w:hAnsi="仿宋_GB2312" w:eastAsia="仿宋_GB2312" w:cs="仿宋_GB2312"/>
          <w:b/>
          <w:color w:val="000000"/>
          <w:sz w:val="32"/>
          <w:szCs w:val="32"/>
          <w:lang w:val="en-GB"/>
        </w:rPr>
      </w:pPr>
    </w:p>
    <w:tbl>
      <w:tblPr>
        <w:tblStyle w:val="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3928"/>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bCs/>
                <w:color w:val="000000"/>
                <w:kern w:val="0"/>
                <w:sz w:val="22"/>
                <w:szCs w:val="22"/>
              </w:rPr>
            </w:pPr>
            <w:r>
              <w:rPr>
                <w:rFonts w:hint="eastAsia" w:ascii="宋体" w:hAnsi="宋体" w:eastAsia="宋体" w:cs="宋体"/>
                <w:b/>
                <w:bCs/>
                <w:color w:val="000000"/>
                <w:kern w:val="0"/>
                <w:sz w:val="22"/>
                <w:szCs w:val="22"/>
                <w:lang w:bidi="ar"/>
              </w:rPr>
              <w:t>仪器品牌</w:t>
            </w:r>
          </w:p>
        </w:tc>
        <w:tc>
          <w:tcPr>
            <w:tcW w:w="39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2"/>
                <w:szCs w:val="22"/>
              </w:rPr>
            </w:pPr>
            <w:r>
              <w:rPr>
                <w:rFonts w:ascii="Times New Roman" w:hAnsi="Times New Roman" w:eastAsia="等线" w:cs="Times New Roman"/>
                <w:color w:val="000000"/>
                <w:kern w:val="0"/>
                <w:sz w:val="22"/>
                <w:szCs w:val="22"/>
                <w:lang w:bidi="ar"/>
              </w:rPr>
              <w:t>PALAS</w:t>
            </w:r>
          </w:p>
        </w:tc>
        <w:tc>
          <w:tcPr>
            <w:tcW w:w="3631" w:type="dxa"/>
            <w:tcBorders>
              <w:top w:val="single" w:color="auto" w:sz="4" w:space="0"/>
              <w:left w:val="nil"/>
              <w:bottom w:val="single" w:color="auto" w:sz="4" w:space="0"/>
              <w:right w:val="single" w:color="auto" w:sz="4" w:space="0"/>
            </w:tcBorders>
            <w:vAlign w:val="center"/>
          </w:tcPr>
          <w:p>
            <w:pPr>
              <w:widowControl/>
              <w:jc w:val="center"/>
              <w:textAlignment w:val="center"/>
              <w:rPr>
                <w:color w:val="000000"/>
                <w:sz w:val="22"/>
                <w:szCs w:val="22"/>
              </w:rPr>
            </w:pPr>
            <w:r>
              <w:rPr>
                <w:rFonts w:ascii="Times New Roman" w:hAnsi="Times New Roman" w:eastAsia="等线" w:cs="Times New Roman"/>
                <w:color w:val="000000"/>
                <w:kern w:val="0"/>
                <w:sz w:val="22"/>
                <w:szCs w:val="22"/>
                <w:lang w:bidi="ar"/>
              </w:rPr>
              <w:t>TRUST SCIENCE INNOVATION</w:t>
            </w:r>
            <w:r>
              <w:rPr>
                <w:rFonts w:hint="eastAsia" w:ascii="宋体" w:hAnsi="宋体" w:eastAsia="宋体" w:cs="宋体"/>
                <w:color w:val="000000"/>
                <w:kern w:val="0"/>
                <w:sz w:val="22"/>
                <w:szCs w:val="22"/>
                <w:lang w:bidi="ar"/>
              </w:rPr>
              <w:t>（</w:t>
            </w:r>
            <w:r>
              <w:rPr>
                <w:rFonts w:ascii="Times New Roman" w:hAnsi="Times New Roman" w:eastAsia="等线" w:cs="Times New Roman"/>
                <w:color w:val="000000"/>
                <w:kern w:val="0"/>
                <w:sz w:val="22"/>
                <w:szCs w:val="22"/>
                <w:lang w:bidi="ar"/>
              </w:rPr>
              <w:t>TSI</w:t>
            </w:r>
            <w:r>
              <w:rPr>
                <w:rFonts w:hint="eastAsia" w:ascii="宋体" w:hAnsi="宋体" w:eastAsia="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仪器型号</w:t>
            </w:r>
          </w:p>
        </w:tc>
        <w:tc>
          <w:tcPr>
            <w:tcW w:w="3928" w:type="dxa"/>
            <w:tcBorders>
              <w:top w:val="nil"/>
              <w:left w:val="single" w:color="auto" w:sz="4" w:space="0"/>
              <w:bottom w:val="single" w:color="auto" w:sz="4" w:space="0"/>
              <w:right w:val="single" w:color="auto" w:sz="4" w:space="0"/>
            </w:tcBorders>
            <w:vAlign w:val="center"/>
          </w:tcPr>
          <w:p>
            <w:pPr>
              <w:widowControl/>
              <w:jc w:val="center"/>
              <w:textAlignment w:val="center"/>
              <w:rPr>
                <w:color w:val="000000"/>
                <w:sz w:val="22"/>
                <w:szCs w:val="22"/>
              </w:rPr>
            </w:pPr>
            <w:r>
              <w:rPr>
                <w:rFonts w:ascii="Times New Roman" w:hAnsi="Times New Roman" w:eastAsia="等线" w:cs="Times New Roman"/>
                <w:color w:val="000000"/>
                <w:kern w:val="0"/>
                <w:sz w:val="22"/>
                <w:szCs w:val="22"/>
                <w:lang w:bidi="ar"/>
              </w:rPr>
              <w:t xml:space="preserve">MFP 3000 G </w:t>
            </w:r>
          </w:p>
        </w:tc>
        <w:tc>
          <w:tcPr>
            <w:tcW w:w="3631" w:type="dxa"/>
            <w:tcBorders>
              <w:top w:val="nil"/>
              <w:left w:val="nil"/>
              <w:bottom w:val="single" w:color="auto" w:sz="4" w:space="0"/>
              <w:right w:val="single" w:color="auto" w:sz="4" w:space="0"/>
            </w:tcBorders>
            <w:vAlign w:val="center"/>
          </w:tcPr>
          <w:p>
            <w:pPr>
              <w:widowControl/>
              <w:jc w:val="center"/>
              <w:textAlignment w:val="center"/>
              <w:rPr>
                <w:color w:val="000000"/>
                <w:sz w:val="22"/>
                <w:szCs w:val="22"/>
              </w:rPr>
            </w:pPr>
            <w:r>
              <w:rPr>
                <w:rFonts w:ascii="Times New Roman" w:hAnsi="Times New Roman" w:eastAsia="等线" w:cs="Times New Roman"/>
                <w:color w:val="000000"/>
                <w:kern w:val="0"/>
                <w:sz w:val="22"/>
                <w:szCs w:val="22"/>
                <w:lang w:bidi="ar"/>
              </w:rPr>
              <w:t>3160</w:t>
            </w:r>
            <w:r>
              <w:rPr>
                <w:rFonts w:hint="eastAsia" w:ascii="宋体" w:hAnsi="宋体" w:eastAsia="宋体" w:cs="宋体"/>
                <w:color w:val="000000"/>
                <w:kern w:val="0"/>
                <w:sz w:val="22"/>
                <w:szCs w:val="22"/>
                <w:lang w:bidi="ar"/>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92"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适用检测对象</w:t>
            </w:r>
          </w:p>
        </w:tc>
        <w:tc>
          <w:tcPr>
            <w:tcW w:w="3928" w:type="dxa"/>
            <w:tcBorders>
              <w:top w:val="nil"/>
              <w:left w:val="single" w:color="auto" w:sz="4" w:space="0"/>
              <w:bottom w:val="single" w:color="auto" w:sz="4" w:space="0"/>
              <w:right w:val="single" w:color="auto" w:sz="4" w:space="0"/>
            </w:tcBorders>
            <w:vAlign w:val="center"/>
          </w:tcPr>
          <w:p>
            <w:pPr>
              <w:widowControl/>
              <w:jc w:val="center"/>
              <w:textAlignment w:val="center"/>
              <w:rPr>
                <w:color w:val="000000"/>
                <w:sz w:val="20"/>
                <w:szCs w:val="20"/>
              </w:rPr>
            </w:pPr>
            <w:r>
              <w:rPr>
                <w:rFonts w:hint="eastAsia" w:ascii="宋体" w:hAnsi="宋体" w:eastAsia="宋体" w:cs="宋体"/>
                <w:color w:val="000000"/>
                <w:kern w:val="0"/>
                <w:sz w:val="22"/>
                <w:szCs w:val="22"/>
                <w:lang w:bidi="ar"/>
              </w:rPr>
              <w:t>初效、中效和高效滤材</w:t>
            </w:r>
          </w:p>
        </w:tc>
        <w:tc>
          <w:tcPr>
            <w:tcW w:w="3631" w:type="dxa"/>
            <w:tcBorders>
              <w:top w:val="nil"/>
              <w:left w:val="nil"/>
              <w:bottom w:val="single" w:color="auto" w:sz="4" w:space="0"/>
              <w:right w:val="single" w:color="auto" w:sz="4" w:space="0"/>
            </w:tcBorders>
            <w:vAlign w:val="center"/>
          </w:tcPr>
          <w:p>
            <w:pPr>
              <w:widowControl/>
              <w:jc w:val="center"/>
              <w:textAlignment w:val="center"/>
              <w:rPr>
                <w:color w:val="000000"/>
                <w:sz w:val="20"/>
                <w:szCs w:val="20"/>
              </w:rPr>
            </w:pPr>
            <w:r>
              <w:rPr>
                <w:rFonts w:hint="eastAsia" w:ascii="宋体" w:hAnsi="宋体" w:eastAsia="宋体" w:cs="宋体"/>
                <w:color w:val="000000"/>
                <w:kern w:val="0"/>
                <w:sz w:val="22"/>
                <w:szCs w:val="22"/>
                <w:lang w:bidi="ar"/>
              </w:rPr>
              <w:t>初效、中效、高效、超高效滤料和过滤器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92"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滤材测试能力</w:t>
            </w:r>
          </w:p>
        </w:tc>
        <w:tc>
          <w:tcPr>
            <w:tcW w:w="3928" w:type="dxa"/>
            <w:tcBorders>
              <w:top w:val="nil"/>
              <w:left w:val="single" w:color="auto" w:sz="4" w:space="0"/>
              <w:bottom w:val="single" w:color="auto" w:sz="4" w:space="0"/>
              <w:right w:val="single" w:color="auto" w:sz="4" w:space="0"/>
            </w:tcBorders>
            <w:vAlign w:val="center"/>
          </w:tcPr>
          <w:p>
            <w:pPr>
              <w:widowControl/>
              <w:jc w:val="center"/>
              <w:textAlignment w:val="center"/>
              <w:rPr>
                <w:color w:val="000000"/>
                <w:sz w:val="20"/>
                <w:szCs w:val="20"/>
              </w:rPr>
            </w:pPr>
            <w:r>
              <w:rPr>
                <w:rFonts w:hint="eastAsia" w:ascii="宋体" w:hAnsi="宋体" w:eastAsia="宋体" w:cs="宋体"/>
                <w:color w:val="000000"/>
                <w:kern w:val="0"/>
                <w:sz w:val="22"/>
                <w:szCs w:val="22"/>
                <w:lang w:bidi="ar"/>
              </w:rPr>
              <w:t>可以测量滤材压降曲线、分级过滤效率、灰尘加载过滤中的逐级分级效率、容尘量和称重法过滤效率。</w:t>
            </w:r>
          </w:p>
        </w:tc>
        <w:tc>
          <w:tcPr>
            <w:tcW w:w="3631" w:type="dxa"/>
            <w:tcBorders>
              <w:top w:val="nil"/>
              <w:left w:val="nil"/>
              <w:bottom w:val="single" w:color="auto" w:sz="4" w:space="0"/>
              <w:right w:val="single" w:color="auto" w:sz="4" w:space="0"/>
            </w:tcBorders>
            <w:vAlign w:val="center"/>
          </w:tcPr>
          <w:p>
            <w:pPr>
              <w:widowControl/>
              <w:jc w:val="center"/>
              <w:textAlignment w:val="center"/>
              <w:rPr>
                <w:color w:val="000000"/>
                <w:sz w:val="20"/>
                <w:szCs w:val="20"/>
              </w:rPr>
            </w:pPr>
            <w:r>
              <w:rPr>
                <w:rFonts w:hint="eastAsia" w:ascii="宋体" w:hAnsi="宋体" w:eastAsia="宋体" w:cs="宋体"/>
                <w:color w:val="000000"/>
                <w:kern w:val="0"/>
                <w:sz w:val="22"/>
                <w:szCs w:val="22"/>
                <w:lang w:bidi="ar"/>
              </w:rPr>
              <w:t>测量空气过滤器或滤料的针对不同粒径气溶胶的过滤效率和阻力，测定粒径和最易穿透粒径（</w:t>
            </w:r>
            <w:r>
              <w:rPr>
                <w:rFonts w:ascii="Times New Roman" w:hAnsi="Times New Roman" w:eastAsia="等线" w:cs="Times New Roman"/>
                <w:color w:val="000000"/>
                <w:kern w:val="0"/>
                <w:sz w:val="22"/>
                <w:szCs w:val="22"/>
                <w:lang w:bidi="ar"/>
              </w:rPr>
              <w:t>MPPS</w:t>
            </w:r>
            <w:r>
              <w:rPr>
                <w:rFonts w:hint="eastAsia" w:ascii="宋体" w:hAnsi="宋体" w:eastAsia="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92"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eastAsia="等线"/>
                <w:b/>
                <w:bCs/>
                <w:color w:val="000000"/>
                <w:sz w:val="22"/>
                <w:szCs w:val="22"/>
              </w:rPr>
            </w:pPr>
            <w:r>
              <w:rPr>
                <w:rFonts w:hint="eastAsia" w:ascii="宋体" w:hAnsi="宋体" w:eastAsia="宋体" w:cs="宋体"/>
                <w:b/>
                <w:bCs/>
                <w:color w:val="000000"/>
                <w:kern w:val="0"/>
                <w:sz w:val="22"/>
                <w:szCs w:val="22"/>
                <w:lang w:bidi="ar"/>
              </w:rPr>
              <w:t>适合标准</w:t>
            </w:r>
          </w:p>
        </w:tc>
        <w:tc>
          <w:tcPr>
            <w:tcW w:w="3928" w:type="dxa"/>
            <w:tcBorders>
              <w:top w:val="nil"/>
              <w:left w:val="single" w:color="auto" w:sz="4" w:space="0"/>
              <w:bottom w:val="single" w:color="auto" w:sz="4" w:space="0"/>
              <w:right w:val="single" w:color="auto" w:sz="4" w:space="0"/>
            </w:tcBorders>
            <w:vAlign w:val="center"/>
          </w:tcPr>
          <w:p>
            <w:pPr>
              <w:widowControl/>
              <w:jc w:val="center"/>
              <w:textAlignment w:val="center"/>
              <w:rPr>
                <w:color w:val="000000"/>
                <w:sz w:val="20"/>
                <w:szCs w:val="20"/>
              </w:rPr>
            </w:pPr>
            <w:r>
              <w:rPr>
                <w:rFonts w:ascii="Times New Roman" w:hAnsi="Times New Roman" w:eastAsia="等线" w:cs="Times New Roman"/>
                <w:color w:val="000000"/>
                <w:kern w:val="0"/>
                <w:sz w:val="22"/>
                <w:szCs w:val="22"/>
                <w:lang w:bidi="ar"/>
              </w:rPr>
              <w:t>ISO 16890</w:t>
            </w:r>
            <w:r>
              <w:rPr>
                <w:rFonts w:hint="eastAsia" w:ascii="宋体" w:hAnsi="宋体" w:eastAsia="宋体" w:cs="宋体"/>
                <w:color w:val="000000"/>
                <w:kern w:val="0"/>
                <w:sz w:val="22"/>
                <w:szCs w:val="22"/>
                <w:lang w:bidi="ar"/>
              </w:rPr>
              <w:t>，</w:t>
            </w:r>
            <w:r>
              <w:rPr>
                <w:rFonts w:ascii="Times New Roman" w:hAnsi="Times New Roman" w:eastAsia="等线" w:cs="Times New Roman"/>
                <w:color w:val="000000"/>
                <w:kern w:val="0"/>
                <w:sz w:val="22"/>
                <w:szCs w:val="22"/>
                <w:lang w:bidi="ar"/>
              </w:rPr>
              <w:t>ASHRAE 52.2</w:t>
            </w:r>
            <w:r>
              <w:rPr>
                <w:rFonts w:hint="eastAsia" w:ascii="宋体" w:hAnsi="宋体" w:eastAsia="宋体" w:cs="宋体"/>
                <w:color w:val="000000"/>
                <w:kern w:val="0"/>
                <w:sz w:val="22"/>
                <w:szCs w:val="22"/>
                <w:lang w:bidi="ar"/>
              </w:rPr>
              <w:t>（选配），</w:t>
            </w:r>
            <w:r>
              <w:rPr>
                <w:rFonts w:ascii="Times New Roman" w:hAnsi="Times New Roman" w:eastAsia="等线" w:cs="Times New Roman"/>
                <w:color w:val="000000"/>
                <w:kern w:val="0"/>
                <w:sz w:val="22"/>
                <w:szCs w:val="22"/>
                <w:lang w:bidi="ar"/>
              </w:rPr>
              <w:t>EN 779</w:t>
            </w:r>
            <w:r>
              <w:rPr>
                <w:rFonts w:hint="eastAsia" w:ascii="宋体" w:hAnsi="宋体" w:eastAsia="宋体" w:cs="宋体"/>
                <w:color w:val="000000"/>
                <w:kern w:val="0"/>
                <w:sz w:val="22"/>
                <w:szCs w:val="22"/>
                <w:lang w:bidi="ar"/>
              </w:rPr>
              <w:t>（选配）等</w:t>
            </w:r>
          </w:p>
        </w:tc>
        <w:tc>
          <w:tcPr>
            <w:tcW w:w="3631" w:type="dxa"/>
            <w:tcBorders>
              <w:top w:val="nil"/>
              <w:left w:val="nil"/>
              <w:bottom w:val="single" w:color="auto" w:sz="4" w:space="0"/>
              <w:right w:val="single" w:color="auto" w:sz="4" w:space="0"/>
            </w:tcBorders>
            <w:vAlign w:val="center"/>
          </w:tcPr>
          <w:p>
            <w:pPr>
              <w:widowControl/>
              <w:jc w:val="center"/>
              <w:textAlignment w:val="center"/>
              <w:rPr>
                <w:color w:val="000000"/>
                <w:sz w:val="20"/>
                <w:szCs w:val="20"/>
              </w:rPr>
            </w:pPr>
            <w:r>
              <w:rPr>
                <w:rFonts w:ascii="Times New Roman" w:hAnsi="Times New Roman" w:eastAsia="等线" w:cs="Times New Roman"/>
                <w:color w:val="000000"/>
                <w:kern w:val="0"/>
                <w:sz w:val="22"/>
                <w:szCs w:val="22"/>
                <w:lang w:bidi="ar"/>
              </w:rPr>
              <w:t>EN-1822 Part 3</w:t>
            </w:r>
            <w:r>
              <w:rPr>
                <w:rFonts w:hint="eastAsia" w:ascii="宋体" w:hAnsi="宋体" w:eastAsia="宋体" w:cs="宋体"/>
                <w:color w:val="000000"/>
                <w:kern w:val="0"/>
                <w:sz w:val="22"/>
                <w:szCs w:val="22"/>
                <w:lang w:bidi="ar"/>
              </w:rPr>
              <w:t>和</w:t>
            </w:r>
            <w:r>
              <w:rPr>
                <w:rFonts w:ascii="Times New Roman" w:hAnsi="Times New Roman" w:eastAsia="等线" w:cs="Times New Roman"/>
                <w:color w:val="000000"/>
                <w:kern w:val="0"/>
                <w:sz w:val="22"/>
                <w:szCs w:val="22"/>
                <w:lang w:bidi="ar"/>
              </w:rPr>
              <w:t>Part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92" w:type="dxa"/>
            <w:tcBorders>
              <w:top w:val="nil"/>
              <w:left w:val="single" w:color="auto" w:sz="4" w:space="0"/>
              <w:bottom w:val="single" w:color="auto" w:sz="4" w:space="0"/>
              <w:right w:val="single" w:color="auto" w:sz="4" w:space="0"/>
            </w:tcBorders>
            <w:vAlign w:val="center"/>
          </w:tcPr>
          <w:p>
            <w:pPr>
              <w:widowControl/>
              <w:jc w:val="center"/>
              <w:textAlignment w:val="center"/>
              <w:rPr>
                <w:rFonts w:eastAsia="等线"/>
                <w:b/>
                <w:bCs/>
                <w:color w:val="000000"/>
                <w:sz w:val="22"/>
                <w:szCs w:val="22"/>
              </w:rPr>
            </w:pPr>
            <w:r>
              <w:rPr>
                <w:rFonts w:hint="eastAsia" w:ascii="宋体" w:hAnsi="宋体" w:eastAsia="宋体" w:cs="宋体"/>
                <w:b/>
                <w:bCs/>
                <w:color w:val="000000"/>
                <w:kern w:val="0"/>
                <w:sz w:val="22"/>
                <w:szCs w:val="22"/>
                <w:lang w:bidi="ar"/>
              </w:rPr>
              <w:t>气溶胶发生器及类型</w:t>
            </w:r>
          </w:p>
        </w:tc>
        <w:tc>
          <w:tcPr>
            <w:tcW w:w="3928" w:type="dxa"/>
            <w:tcBorders>
              <w:top w:val="nil"/>
              <w:left w:val="single" w:color="auto" w:sz="4" w:space="0"/>
              <w:bottom w:val="single" w:color="auto" w:sz="4" w:space="0"/>
              <w:right w:val="single" w:color="auto" w:sz="4" w:space="0"/>
            </w:tcBorders>
            <w:vAlign w:val="center"/>
          </w:tcPr>
          <w:p>
            <w:pPr>
              <w:widowControl/>
              <w:jc w:val="center"/>
              <w:textAlignment w:val="center"/>
              <w:rPr>
                <w:color w:val="000000"/>
                <w:sz w:val="20"/>
                <w:szCs w:val="20"/>
              </w:rPr>
            </w:pPr>
            <w:r>
              <w:rPr>
                <w:rFonts w:ascii="Times New Roman" w:hAnsi="Times New Roman" w:eastAsia="等线" w:cs="Times New Roman"/>
                <w:color w:val="000000"/>
                <w:kern w:val="0"/>
                <w:sz w:val="22"/>
                <w:szCs w:val="22"/>
                <w:lang w:bidi="ar"/>
              </w:rPr>
              <w:t>3</w:t>
            </w:r>
            <w:r>
              <w:rPr>
                <w:rFonts w:hint="eastAsia" w:ascii="宋体" w:hAnsi="宋体" w:eastAsia="宋体" w:cs="宋体"/>
                <w:color w:val="000000"/>
                <w:kern w:val="0"/>
                <w:sz w:val="22"/>
                <w:szCs w:val="22"/>
                <w:lang w:bidi="ar"/>
              </w:rPr>
              <w:t>个发生器：粉尘发生器（</w:t>
            </w:r>
            <w:r>
              <w:rPr>
                <w:rFonts w:ascii="Times New Roman" w:hAnsi="Times New Roman" w:eastAsia="等线" w:cs="Times New Roman"/>
                <w:color w:val="000000"/>
                <w:kern w:val="0"/>
                <w:sz w:val="22"/>
                <w:szCs w:val="22"/>
                <w:lang w:bidi="ar"/>
              </w:rPr>
              <w:t>RBG 1000G</w:t>
            </w:r>
            <w:r>
              <w:rPr>
                <w:rFonts w:hint="eastAsia" w:ascii="宋体" w:hAnsi="宋体" w:eastAsia="宋体" w:cs="宋体"/>
                <w:color w:val="000000"/>
                <w:kern w:val="0"/>
                <w:sz w:val="22"/>
                <w:szCs w:val="22"/>
                <w:lang w:bidi="ar"/>
              </w:rPr>
              <w:t>），油雾气溶胶发生器（</w:t>
            </w:r>
            <w:r>
              <w:rPr>
                <w:rFonts w:ascii="Times New Roman" w:hAnsi="Times New Roman" w:eastAsia="等线" w:cs="Times New Roman"/>
                <w:color w:val="000000"/>
                <w:kern w:val="0"/>
                <w:sz w:val="22"/>
                <w:szCs w:val="22"/>
                <w:lang w:bidi="ar"/>
              </w:rPr>
              <w:t>PLG 1000</w:t>
            </w:r>
            <w:r>
              <w:rPr>
                <w:rFonts w:hint="eastAsia" w:ascii="宋体" w:hAnsi="宋体" w:eastAsia="宋体" w:cs="宋体"/>
                <w:color w:val="000000"/>
                <w:kern w:val="0"/>
                <w:sz w:val="22"/>
                <w:szCs w:val="22"/>
                <w:lang w:bidi="ar"/>
              </w:rPr>
              <w:t>）和盐气溶胶发生器（</w:t>
            </w:r>
            <w:r>
              <w:rPr>
                <w:rFonts w:ascii="Times New Roman" w:hAnsi="Times New Roman" w:eastAsia="等线" w:cs="Times New Roman"/>
                <w:color w:val="000000"/>
                <w:kern w:val="0"/>
                <w:sz w:val="22"/>
                <w:szCs w:val="22"/>
                <w:lang w:bidi="ar"/>
              </w:rPr>
              <w:t>LSPG 16890</w:t>
            </w:r>
            <w:r>
              <w:rPr>
                <w:rFonts w:hint="eastAsia" w:ascii="宋体" w:hAnsi="宋体" w:eastAsia="宋体" w:cs="宋体"/>
                <w:color w:val="000000"/>
                <w:kern w:val="0"/>
                <w:sz w:val="22"/>
                <w:szCs w:val="22"/>
                <w:lang w:bidi="ar"/>
              </w:rPr>
              <w:t>）。</w:t>
            </w:r>
            <w:r>
              <w:rPr>
                <w:rFonts w:ascii="Times New Roman" w:hAnsi="Times New Roman" w:eastAsia="等线" w:cs="Times New Roman"/>
                <w:color w:val="000000"/>
                <w:kern w:val="0"/>
                <w:sz w:val="22"/>
                <w:szCs w:val="22"/>
                <w:lang w:bidi="ar"/>
              </w:rPr>
              <w:t xml:space="preserve"> </w:t>
            </w:r>
          </w:p>
        </w:tc>
        <w:tc>
          <w:tcPr>
            <w:tcW w:w="3631" w:type="dxa"/>
            <w:tcBorders>
              <w:top w:val="nil"/>
              <w:left w:val="nil"/>
              <w:bottom w:val="single" w:color="auto" w:sz="4" w:space="0"/>
              <w:right w:val="single" w:color="auto" w:sz="4" w:space="0"/>
            </w:tcBorders>
            <w:vAlign w:val="center"/>
          </w:tcPr>
          <w:p>
            <w:pPr>
              <w:widowControl/>
              <w:jc w:val="center"/>
              <w:textAlignment w:val="center"/>
              <w:rPr>
                <w:color w:val="000000"/>
                <w:sz w:val="20"/>
                <w:szCs w:val="20"/>
              </w:rPr>
            </w:pPr>
            <w:r>
              <w:rPr>
                <w:rFonts w:hint="eastAsia" w:ascii="宋体" w:hAnsi="宋体" w:eastAsia="宋体" w:cs="宋体"/>
                <w:color w:val="000000"/>
                <w:kern w:val="0"/>
                <w:sz w:val="22"/>
                <w:szCs w:val="22"/>
                <w:lang w:bidi="ar"/>
              </w:rPr>
              <w:t>可选配</w:t>
            </w:r>
            <w:r>
              <w:rPr>
                <w:rFonts w:ascii="Times New Roman" w:hAnsi="Times New Roman" w:eastAsia="等线" w:cs="Times New Roman"/>
                <w:color w:val="000000"/>
                <w:kern w:val="0"/>
                <w:sz w:val="22"/>
                <w:szCs w:val="22"/>
                <w:lang w:bidi="ar"/>
              </w:rPr>
              <w:t>6</w:t>
            </w:r>
            <w:r>
              <w:rPr>
                <w:rFonts w:hint="eastAsia" w:ascii="宋体" w:hAnsi="宋体" w:eastAsia="宋体" w:cs="宋体"/>
                <w:color w:val="000000"/>
                <w:kern w:val="0"/>
                <w:sz w:val="22"/>
                <w:szCs w:val="22"/>
                <w:lang w:bidi="ar"/>
              </w:rPr>
              <w:t>个发生器：</w:t>
            </w:r>
            <w:r>
              <w:rPr>
                <w:rFonts w:ascii="Times New Roman" w:hAnsi="Times New Roman" w:eastAsia="等线" w:cs="Times New Roman"/>
                <w:color w:val="000000"/>
                <w:kern w:val="0"/>
                <w:sz w:val="22"/>
                <w:szCs w:val="22"/>
                <w:lang w:bidi="ar"/>
              </w:rPr>
              <w:t>3</w:t>
            </w:r>
            <w:r>
              <w:rPr>
                <w:rFonts w:hint="eastAsia" w:ascii="宋体" w:hAnsi="宋体" w:eastAsia="宋体" w:cs="宋体"/>
                <w:color w:val="000000"/>
                <w:kern w:val="0"/>
                <w:sz w:val="22"/>
                <w:szCs w:val="22"/>
                <w:lang w:bidi="ar"/>
              </w:rPr>
              <w:t>个油发生器，</w:t>
            </w:r>
            <w:r>
              <w:rPr>
                <w:rFonts w:ascii="Times New Roman" w:hAnsi="Times New Roman" w:eastAsia="等线" w:cs="Times New Roman"/>
                <w:color w:val="000000"/>
                <w:kern w:val="0"/>
                <w:sz w:val="22"/>
                <w:szCs w:val="22"/>
                <w:lang w:bidi="ar"/>
              </w:rPr>
              <w:t>3</w:t>
            </w:r>
            <w:r>
              <w:rPr>
                <w:rFonts w:hint="eastAsia" w:ascii="宋体" w:hAnsi="宋体" w:eastAsia="宋体" w:cs="宋体"/>
                <w:color w:val="000000"/>
                <w:kern w:val="0"/>
                <w:sz w:val="22"/>
                <w:szCs w:val="22"/>
                <w:lang w:bidi="ar"/>
              </w:rPr>
              <w:t>个盐类发生器。发生类型为氯化钠，</w:t>
            </w:r>
            <w:r>
              <w:rPr>
                <w:rFonts w:ascii="Times New Roman" w:hAnsi="Times New Roman" w:eastAsia="等线" w:cs="Times New Roman"/>
                <w:color w:val="000000"/>
                <w:kern w:val="0"/>
                <w:sz w:val="22"/>
                <w:szCs w:val="22"/>
                <w:lang w:bidi="ar"/>
              </w:rPr>
              <w:t xml:space="preserve">DOP </w:t>
            </w:r>
            <w:r>
              <w:rPr>
                <w:rFonts w:hint="eastAsia" w:ascii="宋体" w:hAnsi="宋体" w:eastAsia="宋体" w:cs="宋体"/>
                <w:color w:val="000000"/>
                <w:kern w:val="0"/>
                <w:sz w:val="22"/>
                <w:szCs w:val="22"/>
                <w:lang w:bidi="ar"/>
              </w:rPr>
              <w:t>和其它油类物质。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92"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气溶胶粒径范围</w:t>
            </w:r>
          </w:p>
        </w:tc>
        <w:tc>
          <w:tcPr>
            <w:tcW w:w="3928" w:type="dxa"/>
            <w:tcBorders>
              <w:top w:val="nil"/>
              <w:left w:val="single" w:color="auto" w:sz="4" w:space="0"/>
              <w:bottom w:val="single" w:color="auto" w:sz="4" w:space="0"/>
              <w:right w:val="single" w:color="auto" w:sz="4" w:space="0"/>
            </w:tcBorders>
            <w:vAlign w:val="center"/>
          </w:tcPr>
          <w:p>
            <w:pPr>
              <w:widowControl/>
              <w:jc w:val="center"/>
              <w:textAlignment w:val="center"/>
              <w:rPr>
                <w:color w:val="000000"/>
                <w:sz w:val="20"/>
                <w:szCs w:val="20"/>
              </w:rPr>
            </w:pPr>
            <w:r>
              <w:rPr>
                <w:rFonts w:ascii="Times New Roman" w:hAnsi="Times New Roman" w:eastAsia="等线" w:cs="Times New Roman"/>
                <w:color w:val="000000"/>
                <w:kern w:val="0"/>
                <w:sz w:val="22"/>
                <w:szCs w:val="22"/>
                <w:lang w:bidi="ar"/>
              </w:rPr>
              <w:t xml:space="preserve"> 0.2μm-40μm</w:t>
            </w:r>
            <w:r>
              <w:rPr>
                <w:rFonts w:hint="eastAsia" w:ascii="宋体" w:hAnsi="宋体" w:eastAsia="宋体" w:cs="宋体"/>
                <w:color w:val="000000"/>
                <w:kern w:val="0"/>
                <w:sz w:val="22"/>
                <w:szCs w:val="22"/>
                <w:lang w:bidi="ar"/>
              </w:rPr>
              <w:t>（分段）</w:t>
            </w:r>
          </w:p>
        </w:tc>
        <w:tc>
          <w:tcPr>
            <w:tcW w:w="3631" w:type="dxa"/>
            <w:tcBorders>
              <w:top w:val="nil"/>
              <w:left w:val="nil"/>
              <w:bottom w:val="single" w:color="auto" w:sz="4" w:space="0"/>
              <w:right w:val="single" w:color="auto" w:sz="4" w:space="0"/>
            </w:tcBorders>
            <w:vAlign w:val="center"/>
          </w:tcPr>
          <w:p>
            <w:pPr>
              <w:widowControl/>
              <w:jc w:val="center"/>
              <w:textAlignment w:val="center"/>
              <w:rPr>
                <w:color w:val="000000"/>
                <w:sz w:val="20"/>
                <w:szCs w:val="20"/>
              </w:rPr>
            </w:pPr>
            <w:r>
              <w:rPr>
                <w:rFonts w:ascii="Times New Roman" w:hAnsi="Times New Roman" w:eastAsia="等线" w:cs="Times New Roman"/>
                <w:color w:val="000000"/>
                <w:kern w:val="0"/>
                <w:sz w:val="22"/>
                <w:szCs w:val="22"/>
                <w:lang w:bidi="ar"/>
              </w:rPr>
              <w:t>0.015-0.8μm</w:t>
            </w:r>
            <w:r>
              <w:rPr>
                <w:rFonts w:hint="eastAsia" w:ascii="宋体" w:hAnsi="宋体" w:eastAsia="宋体" w:cs="宋体"/>
                <w:color w:val="000000"/>
                <w:kern w:val="0"/>
                <w:sz w:val="22"/>
                <w:szCs w:val="22"/>
                <w:lang w:bidi="ar"/>
              </w:rPr>
              <w:t>（使用静电分级器）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92"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检测方法</w:t>
            </w:r>
          </w:p>
        </w:tc>
        <w:tc>
          <w:tcPr>
            <w:tcW w:w="3928" w:type="dxa"/>
            <w:tcBorders>
              <w:top w:val="nil"/>
              <w:left w:val="single" w:color="auto" w:sz="4" w:space="0"/>
              <w:bottom w:val="single" w:color="auto" w:sz="4" w:space="0"/>
              <w:right w:val="single" w:color="auto" w:sz="4" w:space="0"/>
            </w:tcBorders>
            <w:vAlign w:val="center"/>
          </w:tcPr>
          <w:p>
            <w:pPr>
              <w:widowControl/>
              <w:jc w:val="center"/>
              <w:textAlignment w:val="center"/>
              <w:rPr>
                <w:color w:val="000000"/>
                <w:sz w:val="20"/>
                <w:szCs w:val="20"/>
              </w:rPr>
            </w:pPr>
            <w:r>
              <w:rPr>
                <w:rFonts w:hint="eastAsia" w:ascii="宋体" w:hAnsi="宋体" w:eastAsia="宋体" w:cs="宋体"/>
                <w:color w:val="000000"/>
                <w:kern w:val="0"/>
                <w:sz w:val="22"/>
                <w:szCs w:val="22"/>
                <w:lang w:bidi="ar"/>
              </w:rPr>
              <w:t>单颗粒物光散射法粒径谱仪</w:t>
            </w:r>
            <w:r>
              <w:rPr>
                <w:rFonts w:ascii="Times New Roman" w:hAnsi="Times New Roman" w:eastAsia="等线" w:cs="Times New Roman"/>
                <w:color w:val="000000"/>
                <w:kern w:val="0"/>
                <w:sz w:val="22"/>
                <w:szCs w:val="22"/>
                <w:lang w:bidi="ar"/>
              </w:rPr>
              <w:t>2</w:t>
            </w:r>
            <w:r>
              <w:rPr>
                <w:rFonts w:hint="eastAsia" w:ascii="宋体" w:hAnsi="宋体" w:eastAsia="宋体" w:cs="宋体"/>
                <w:color w:val="000000"/>
                <w:kern w:val="0"/>
                <w:sz w:val="22"/>
                <w:szCs w:val="22"/>
                <w:lang w:bidi="ar"/>
              </w:rPr>
              <w:t>个</w:t>
            </w:r>
          </w:p>
        </w:tc>
        <w:tc>
          <w:tcPr>
            <w:tcW w:w="3631" w:type="dxa"/>
            <w:tcBorders>
              <w:top w:val="nil"/>
              <w:left w:val="nil"/>
              <w:bottom w:val="single" w:color="auto" w:sz="4" w:space="0"/>
              <w:right w:val="single" w:color="auto" w:sz="4" w:space="0"/>
            </w:tcBorders>
            <w:vAlign w:val="center"/>
          </w:tcPr>
          <w:p>
            <w:pPr>
              <w:widowControl/>
              <w:jc w:val="center"/>
              <w:textAlignment w:val="center"/>
              <w:rPr>
                <w:color w:val="000000"/>
                <w:sz w:val="20"/>
                <w:szCs w:val="20"/>
              </w:rPr>
            </w:pPr>
            <w:r>
              <w:rPr>
                <w:rFonts w:hint="eastAsia" w:ascii="宋体" w:hAnsi="宋体" w:eastAsia="宋体" w:cs="宋体"/>
                <w:color w:val="000000"/>
                <w:kern w:val="0"/>
                <w:sz w:val="22"/>
                <w:szCs w:val="22"/>
                <w:lang w:bidi="ar"/>
              </w:rPr>
              <w:t>技术双重冷凝粒子计数器（</w:t>
            </w:r>
            <w:r>
              <w:rPr>
                <w:rFonts w:ascii="Times New Roman" w:hAnsi="Times New Roman" w:eastAsia="等线" w:cs="Times New Roman"/>
                <w:color w:val="000000"/>
                <w:kern w:val="0"/>
                <w:sz w:val="22"/>
                <w:szCs w:val="22"/>
                <w:lang w:bidi="ar"/>
              </w:rPr>
              <w:t>CPCs</w:t>
            </w:r>
            <w:r>
              <w:rPr>
                <w:rFonts w:hint="eastAsia" w:ascii="宋体" w:hAnsi="宋体" w:eastAsia="宋体" w:cs="宋体"/>
                <w:color w:val="000000"/>
                <w:kern w:val="0"/>
                <w:sz w:val="22"/>
                <w:szCs w:val="22"/>
                <w:lang w:bidi="ar"/>
              </w:rPr>
              <w:t>）</w:t>
            </w:r>
            <w:r>
              <w:rPr>
                <w:rFonts w:ascii="Times New Roman" w:hAnsi="Times New Roman" w:eastAsia="等线" w:cs="Times New Roman"/>
                <w:color w:val="000000"/>
                <w:kern w:val="0"/>
                <w:sz w:val="22"/>
                <w:szCs w:val="22"/>
                <w:lang w:bidi="ar"/>
              </w:rPr>
              <w:t>2</w:t>
            </w:r>
            <w:r>
              <w:rPr>
                <w:rFonts w:hint="eastAsia" w:ascii="宋体" w:hAnsi="宋体" w:eastAsia="宋体" w:cs="宋体"/>
                <w:color w:val="000000"/>
                <w:kern w:val="0"/>
                <w:sz w:val="22"/>
                <w:szCs w:val="22"/>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92"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工作流量</w:t>
            </w:r>
          </w:p>
        </w:tc>
        <w:tc>
          <w:tcPr>
            <w:tcW w:w="3928" w:type="dxa"/>
            <w:tcBorders>
              <w:top w:val="nil"/>
              <w:left w:val="single" w:color="auto" w:sz="4" w:space="0"/>
              <w:bottom w:val="single" w:color="auto" w:sz="4" w:space="0"/>
              <w:right w:val="single" w:color="auto" w:sz="4" w:space="0"/>
            </w:tcBorders>
            <w:vAlign w:val="center"/>
          </w:tcPr>
          <w:p>
            <w:pPr>
              <w:widowControl/>
              <w:jc w:val="center"/>
              <w:textAlignment w:val="center"/>
              <w:rPr>
                <w:color w:val="000000"/>
                <w:sz w:val="20"/>
                <w:szCs w:val="20"/>
              </w:rPr>
            </w:pPr>
            <w:r>
              <w:rPr>
                <w:rFonts w:ascii="Times New Roman" w:hAnsi="Times New Roman" w:eastAsia="等线" w:cs="Times New Roman"/>
                <w:color w:val="000000"/>
                <w:kern w:val="0"/>
                <w:sz w:val="22"/>
                <w:szCs w:val="22"/>
                <w:lang w:bidi="ar"/>
              </w:rPr>
              <w:t>1-35 m³/h</w:t>
            </w:r>
            <w:r>
              <w:rPr>
                <w:rFonts w:hint="eastAsia" w:ascii="宋体" w:hAnsi="宋体" w:eastAsia="宋体" w:cs="宋体"/>
                <w:color w:val="000000"/>
                <w:kern w:val="0"/>
                <w:sz w:val="22"/>
                <w:szCs w:val="22"/>
                <w:lang w:bidi="ar"/>
              </w:rPr>
              <w:t>（负压模式，即底端抽风模式）</w:t>
            </w:r>
          </w:p>
        </w:tc>
        <w:tc>
          <w:tcPr>
            <w:tcW w:w="3631" w:type="dxa"/>
            <w:tcBorders>
              <w:top w:val="nil"/>
              <w:left w:val="nil"/>
              <w:bottom w:val="single" w:color="auto" w:sz="4" w:space="0"/>
              <w:right w:val="single" w:color="auto" w:sz="4" w:space="0"/>
            </w:tcBorders>
            <w:vAlign w:val="center"/>
          </w:tcPr>
          <w:p>
            <w:pPr>
              <w:widowControl/>
              <w:jc w:val="center"/>
              <w:textAlignment w:val="center"/>
              <w:rPr>
                <w:color w:val="000000"/>
                <w:sz w:val="20"/>
                <w:szCs w:val="20"/>
              </w:rPr>
            </w:pPr>
            <w:r>
              <w:rPr>
                <w:rFonts w:ascii="Times New Roman" w:hAnsi="Times New Roman" w:eastAsia="等线" w:cs="Times New Roman"/>
                <w:color w:val="000000"/>
                <w:kern w:val="0"/>
                <w:sz w:val="22"/>
                <w:szCs w:val="22"/>
                <w:lang w:bidi="ar"/>
              </w:rPr>
              <w:t>15-100 L/min</w:t>
            </w:r>
            <w:r>
              <w:rPr>
                <w:rFonts w:hint="eastAsia" w:ascii="宋体" w:hAnsi="宋体" w:eastAsia="宋体" w:cs="宋体"/>
                <w:color w:val="000000"/>
                <w:kern w:val="0"/>
                <w:sz w:val="22"/>
                <w:szCs w:val="22"/>
                <w:lang w:bidi="ar"/>
              </w:rPr>
              <w:t>可调，精度±</w:t>
            </w:r>
            <w:r>
              <w:rPr>
                <w:rFonts w:ascii="Times New Roman" w:hAnsi="Times New Roman" w:eastAsia="等线" w:cs="Times New Roman"/>
                <w:color w:val="000000"/>
                <w:kern w:val="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92"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压力范围</w:t>
            </w:r>
          </w:p>
        </w:tc>
        <w:tc>
          <w:tcPr>
            <w:tcW w:w="3928" w:type="dxa"/>
            <w:tcBorders>
              <w:top w:val="nil"/>
              <w:left w:val="single" w:color="auto" w:sz="4" w:space="0"/>
              <w:bottom w:val="single" w:color="auto" w:sz="4" w:space="0"/>
              <w:right w:val="single" w:color="auto" w:sz="4" w:space="0"/>
            </w:tcBorders>
            <w:vAlign w:val="center"/>
          </w:tcPr>
          <w:p>
            <w:pPr>
              <w:widowControl/>
              <w:jc w:val="center"/>
              <w:textAlignment w:val="center"/>
              <w:rPr>
                <w:color w:val="000000"/>
                <w:sz w:val="20"/>
                <w:szCs w:val="20"/>
              </w:rPr>
            </w:pPr>
            <w:r>
              <w:rPr>
                <w:rFonts w:ascii="Times New Roman" w:hAnsi="Times New Roman" w:eastAsia="等线" w:cs="Times New Roman"/>
                <w:color w:val="000000"/>
                <w:kern w:val="0"/>
                <w:sz w:val="22"/>
                <w:szCs w:val="22"/>
                <w:lang w:bidi="ar"/>
              </w:rPr>
              <w:t>0-2500Pa</w:t>
            </w:r>
            <w:r>
              <w:rPr>
                <w:rFonts w:hint="eastAsia" w:ascii="宋体" w:hAnsi="宋体" w:eastAsia="宋体" w:cs="宋体"/>
                <w:color w:val="000000"/>
                <w:kern w:val="0"/>
                <w:sz w:val="22"/>
                <w:szCs w:val="22"/>
                <w:lang w:bidi="ar"/>
              </w:rPr>
              <w:t>（选配，标配</w:t>
            </w:r>
            <w:r>
              <w:rPr>
                <w:rFonts w:ascii="Times New Roman" w:hAnsi="Times New Roman" w:eastAsia="等线" w:cs="Times New Roman"/>
                <w:color w:val="000000"/>
                <w:kern w:val="0"/>
                <w:sz w:val="22"/>
                <w:szCs w:val="22"/>
                <w:lang w:bidi="ar"/>
              </w:rPr>
              <w:t>1200Pa</w:t>
            </w:r>
            <w:r>
              <w:rPr>
                <w:rFonts w:hint="eastAsia" w:ascii="宋体" w:hAnsi="宋体" w:eastAsia="宋体" w:cs="宋体"/>
                <w:color w:val="000000"/>
                <w:kern w:val="0"/>
                <w:sz w:val="22"/>
                <w:szCs w:val="22"/>
                <w:lang w:bidi="ar"/>
              </w:rPr>
              <w:t>）</w:t>
            </w:r>
          </w:p>
        </w:tc>
        <w:tc>
          <w:tcPr>
            <w:tcW w:w="3631" w:type="dxa"/>
            <w:tcBorders>
              <w:top w:val="nil"/>
              <w:left w:val="nil"/>
              <w:bottom w:val="single" w:color="auto" w:sz="4" w:space="0"/>
              <w:right w:val="single" w:color="auto" w:sz="4" w:space="0"/>
            </w:tcBorders>
            <w:vAlign w:val="center"/>
          </w:tcPr>
          <w:p>
            <w:pPr>
              <w:widowControl/>
              <w:jc w:val="center"/>
              <w:textAlignment w:val="center"/>
              <w:rPr>
                <w:color w:val="000000"/>
                <w:sz w:val="20"/>
                <w:szCs w:val="20"/>
              </w:rPr>
            </w:pPr>
            <w:r>
              <w:rPr>
                <w:rFonts w:ascii="Times New Roman" w:hAnsi="Times New Roman" w:eastAsia="等线" w:cs="Times New Roman"/>
                <w:color w:val="000000"/>
                <w:kern w:val="0"/>
                <w:sz w:val="22"/>
                <w:szCs w:val="22"/>
                <w:lang w:bidi="ar"/>
              </w:rPr>
              <w:t>0-1470Pa</w:t>
            </w:r>
            <w:r>
              <w:rPr>
                <w:rFonts w:hint="eastAsia" w:ascii="宋体" w:hAnsi="宋体" w:eastAsia="宋体" w:cs="宋体"/>
                <w:color w:val="000000"/>
                <w:kern w:val="0"/>
                <w:sz w:val="22"/>
                <w:szCs w:val="22"/>
                <w:lang w:bidi="ar"/>
              </w:rPr>
              <w:t>，精度为满量程</w:t>
            </w:r>
            <w:r>
              <w:rPr>
                <w:rFonts w:ascii="Times New Roman" w:hAnsi="Times New Roman" w:eastAsia="等线" w:cs="Times New Roman"/>
                <w:color w:val="000000"/>
                <w:kern w:val="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92"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压缩空气</w:t>
            </w:r>
          </w:p>
        </w:tc>
        <w:tc>
          <w:tcPr>
            <w:tcW w:w="3928"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用户自行配置空压机，6–8 bar，干燥无油。</w:t>
            </w:r>
          </w:p>
        </w:tc>
        <w:tc>
          <w:tcPr>
            <w:tcW w:w="3631" w:type="dxa"/>
            <w:tcBorders>
              <w:top w:val="nil"/>
              <w:left w:val="nil"/>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用户自行配置空压机，300L/min，6 bar，3级过滤，干燥无油。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92"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测试软件功能</w:t>
            </w:r>
          </w:p>
        </w:tc>
        <w:tc>
          <w:tcPr>
            <w:tcW w:w="3928"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软件根据实际测试需求自动切换不同气溶胶发生器；提供压降曲线；提供粒径范围内分级效率；支持多分级效率曲线比对及中位径计算；支持颗粒物逐级加载并测量分级效率；支持显示80%和95%分级效率对应粒径随时间变化的曲线；支持显示整体过滤效率随时间变化的曲线。</w:t>
            </w:r>
          </w:p>
        </w:tc>
        <w:tc>
          <w:tcPr>
            <w:tcW w:w="3631"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可自动生成穿透率和不同粒径关系曲线和最易穿透粒径及总结报告。全部报告可以输出成图形或是数据表格式，可以用计算机软件打印，可以自动存储在Access 数据库中，同时也可输出成Excel文件。</w:t>
            </w:r>
          </w:p>
        </w:tc>
      </w:tr>
    </w:tbl>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实验室具备电（220V单相电源）、通风（排气系统）、实验平台、空气压缩机等安装条件。</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该设备使用过程无放射物产生，可能产生少量废气、固废可由通风净化系统及固废收集系统处理，不会产生安全性问题。</w:t>
      </w:r>
    </w:p>
    <w:sectPr>
      <w:headerReference r:id="rId3" w:type="default"/>
      <w:footerReference r:id="rId4" w:type="default"/>
      <w:pgSz w:w="11906" w:h="16838"/>
      <w:pgMar w:top="1440" w:right="1080" w:bottom="1440" w:left="1080"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5671"/>
      </w:tabs>
      <w:jc w:val="left"/>
      <w:rPr>
        <w:rFonts w:hint="eastAsia" w:eastAsiaTheme="minor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2B1651"/>
    <w:rsid w:val="00381E33"/>
    <w:rsid w:val="004E2A02"/>
    <w:rsid w:val="004E5283"/>
    <w:rsid w:val="0059767E"/>
    <w:rsid w:val="006B3B44"/>
    <w:rsid w:val="006F7AFC"/>
    <w:rsid w:val="0074747E"/>
    <w:rsid w:val="007563C3"/>
    <w:rsid w:val="00AF2930"/>
    <w:rsid w:val="00EB7E60"/>
    <w:rsid w:val="01215510"/>
    <w:rsid w:val="01EA0E83"/>
    <w:rsid w:val="0301396B"/>
    <w:rsid w:val="05154E61"/>
    <w:rsid w:val="0ACD3951"/>
    <w:rsid w:val="0C2107A9"/>
    <w:rsid w:val="0CF462EF"/>
    <w:rsid w:val="108F4BD1"/>
    <w:rsid w:val="11C95F9C"/>
    <w:rsid w:val="1209283C"/>
    <w:rsid w:val="130628D8"/>
    <w:rsid w:val="14C94C7D"/>
    <w:rsid w:val="1759409D"/>
    <w:rsid w:val="1E592455"/>
    <w:rsid w:val="1FBB33A3"/>
    <w:rsid w:val="23201794"/>
    <w:rsid w:val="240E07A9"/>
    <w:rsid w:val="251D242F"/>
    <w:rsid w:val="257B1D4A"/>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65140F3F"/>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qFormat/>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1380</Words>
  <Characters>1550</Characters>
  <Lines>2</Lines>
  <Paragraphs>3</Paragraphs>
  <TotalTime>53</TotalTime>
  <ScaleCrop>false</ScaleCrop>
  <LinksUpToDate>false</LinksUpToDate>
  <CharactersWithSpaces>1572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2021-12-06T02:49:00Z</dcterms:created>
  <dc:creator>阿融</dc:creator>
  <cp:lastModifiedBy>阿融</cp:lastModifiedBy>
  <dcterms:modified xsi:type="dcterms:W3CDTF">2022-04-21T07:11:02Z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62737996527D4D749885DEC555C236FB</vt:lpwstr>
  </property>
</Properties>
</file>