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清源创新实验室制备液相色谱仪需求调研情况</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一、仪器设备使用的项目</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制备液相色谱仪</w:t>
      </w:r>
      <w:r>
        <w:rPr>
          <w:rFonts w:ascii="仿宋" w:hAnsi="仿宋" w:eastAsia="仿宋"/>
          <w:color w:val="000000" w:themeColor="text1"/>
          <w:sz w:val="32"/>
          <w:szCs w:val="32"/>
          <w14:textFill>
            <w14:solidFill>
              <w14:schemeClr w14:val="tx1"/>
            </w14:solidFill>
          </w14:textFill>
        </w:rPr>
        <w:t>是指采用色谱技术制备纯的单一化合物，以满足</w:t>
      </w:r>
      <w:r>
        <w:rPr>
          <w:rFonts w:hint="eastAsia" w:ascii="仿宋" w:hAnsi="仿宋" w:eastAsia="仿宋"/>
          <w:color w:val="000000" w:themeColor="text1"/>
          <w:sz w:val="32"/>
          <w:szCs w:val="32"/>
          <w14:textFill>
            <w14:solidFill>
              <w14:schemeClr w14:val="tx1"/>
            </w14:solidFill>
          </w14:textFill>
        </w:rPr>
        <w:t>进一步的</w:t>
      </w:r>
      <w:r>
        <w:rPr>
          <w:rFonts w:ascii="仿宋" w:hAnsi="仿宋" w:eastAsia="仿宋"/>
          <w:color w:val="000000" w:themeColor="text1"/>
          <w:sz w:val="32"/>
          <w:szCs w:val="32"/>
          <w14:textFill>
            <w14:solidFill>
              <w14:schemeClr w14:val="tx1"/>
            </w14:solidFill>
          </w14:textFill>
        </w:rPr>
        <w:t>研究</w:t>
      </w:r>
      <w:r>
        <w:rPr>
          <w:rFonts w:hint="eastAsia" w:ascii="仿宋" w:hAnsi="仿宋" w:eastAsia="仿宋"/>
          <w:color w:val="000000" w:themeColor="text1"/>
          <w:sz w:val="32"/>
          <w:szCs w:val="32"/>
          <w14:textFill>
            <w14:solidFill>
              <w14:schemeClr w14:val="tx1"/>
            </w14:solidFill>
          </w14:textFill>
        </w:rPr>
        <w:t>和鉴别</w:t>
      </w:r>
      <w:r>
        <w:rPr>
          <w:rFonts w:hint="eastAsia" w:ascii="仿宋" w:hAnsi="仿宋" w:eastAsia="仿宋" w:cs="仿宋_GB2312"/>
          <w:color w:val="000000"/>
          <w:sz w:val="32"/>
          <w:szCs w:val="32"/>
        </w:rPr>
        <w:t>。电子专用化学品方向实验室计划购置的制备液相色谱仪，主要用于研发过程中混合物的分离纯化，可服务于实验室各相关研究方向，加速电子专用化学品的工艺优化，推动电子专用化学品的应用研究进程。</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二、在该项目中所承担的任务</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拟购置的制备液相色谱仪可以制备和纯化合成过程中的产品和杂质以便于下一步的化学反应和定性鉴别。该设备的购置主要服务于清源实验室电子专用化学品方向所承担国家省部 及企业合作项目及各类人才的培养。</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三、国内外同类项目所用的仪器设备及优缺点对比</w:t>
      </w:r>
    </w:p>
    <w:tbl>
      <w:tblPr>
        <w:tblStyle w:val="5"/>
        <w:tblW w:w="9661" w:type="dxa"/>
        <w:tblInd w:w="0" w:type="dxa"/>
        <w:tblLayout w:type="fixed"/>
        <w:tblCellMar>
          <w:top w:w="0" w:type="dxa"/>
          <w:left w:w="108" w:type="dxa"/>
          <w:bottom w:w="0" w:type="dxa"/>
          <w:right w:w="108" w:type="dxa"/>
        </w:tblCellMar>
      </w:tblPr>
      <w:tblGrid>
        <w:gridCol w:w="1525"/>
        <w:gridCol w:w="1895"/>
        <w:gridCol w:w="2087"/>
        <w:gridCol w:w="2331"/>
        <w:gridCol w:w="1823"/>
      </w:tblGrid>
      <w:tr>
        <w:tblPrEx>
          <w:tblCellMar>
            <w:top w:w="0" w:type="dxa"/>
            <w:left w:w="108" w:type="dxa"/>
            <w:bottom w:w="0" w:type="dxa"/>
            <w:right w:w="108" w:type="dxa"/>
          </w:tblCellMar>
        </w:tblPrEx>
        <w:trPr>
          <w:trHeight w:val="560" w:hRule="atLeast"/>
        </w:trPr>
        <w:tc>
          <w:tcPr>
            <w:tcW w:w="1525"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eastAsia="zh-TW"/>
              </w:rPr>
              <w:t>名称</w:t>
            </w:r>
          </w:p>
        </w:tc>
        <w:tc>
          <w:tcPr>
            <w:tcW w:w="189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eastAsia="zh-TW"/>
              </w:rPr>
              <w:t>型号</w:t>
            </w:r>
          </w:p>
        </w:tc>
        <w:tc>
          <w:tcPr>
            <w:tcW w:w="2087"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eastAsia="zh-TW"/>
              </w:rPr>
              <w:t>制造公司</w:t>
            </w:r>
          </w:p>
        </w:tc>
        <w:tc>
          <w:tcPr>
            <w:tcW w:w="2331"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eastAsia="zh-TW"/>
              </w:rPr>
              <w:t>使用单位</w:t>
            </w:r>
          </w:p>
        </w:tc>
        <w:tc>
          <w:tcPr>
            <w:tcW w:w="182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eastAsia="zh-TW"/>
              </w:rPr>
              <w:t>购置时间</w:t>
            </w:r>
          </w:p>
        </w:tc>
      </w:tr>
      <w:tr>
        <w:tblPrEx>
          <w:tblCellMar>
            <w:top w:w="0" w:type="dxa"/>
            <w:left w:w="108" w:type="dxa"/>
            <w:bottom w:w="0" w:type="dxa"/>
            <w:right w:w="108" w:type="dxa"/>
          </w:tblCellMar>
        </w:tblPrEx>
        <w:trPr>
          <w:trHeight w:val="745" w:hRule="atLeast"/>
        </w:trPr>
        <w:tc>
          <w:tcPr>
            <w:tcW w:w="1525"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沃特世 Waters</w:t>
            </w:r>
          </w:p>
        </w:tc>
        <w:tc>
          <w:tcPr>
            <w:tcW w:w="1895" w:type="dxa"/>
            <w:tcBorders>
              <w:top w:val="nil"/>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2535 Quaternary Gradient Module</w:t>
            </w:r>
          </w:p>
        </w:tc>
        <w:tc>
          <w:tcPr>
            <w:tcW w:w="2087" w:type="dxa"/>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沃特世 Waters</w:t>
            </w:r>
          </w:p>
        </w:tc>
        <w:tc>
          <w:tcPr>
            <w:tcW w:w="2331" w:type="dxa"/>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福建省微生物研究所</w:t>
            </w:r>
          </w:p>
        </w:tc>
        <w:tc>
          <w:tcPr>
            <w:tcW w:w="1823" w:type="dxa"/>
            <w:tcBorders>
              <w:top w:val="nil"/>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2013</w:t>
            </w:r>
          </w:p>
        </w:tc>
      </w:tr>
      <w:tr>
        <w:tblPrEx>
          <w:tblCellMar>
            <w:top w:w="0" w:type="dxa"/>
            <w:left w:w="108" w:type="dxa"/>
            <w:bottom w:w="0" w:type="dxa"/>
            <w:right w:w="108" w:type="dxa"/>
          </w:tblCellMar>
        </w:tblPrEx>
        <w:trPr>
          <w:trHeight w:val="652" w:hRule="atLeast"/>
        </w:trPr>
        <w:tc>
          <w:tcPr>
            <w:tcW w:w="1525"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安捷伦 Agilent</w:t>
            </w:r>
          </w:p>
        </w:tc>
        <w:tc>
          <w:tcPr>
            <w:tcW w:w="1895" w:type="dxa"/>
            <w:tcBorders>
              <w:top w:val="nil"/>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1260 Infinity</w:t>
            </w:r>
          </w:p>
        </w:tc>
        <w:tc>
          <w:tcPr>
            <w:tcW w:w="2087" w:type="dxa"/>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安捷伦 Agilent</w:t>
            </w:r>
          </w:p>
        </w:tc>
        <w:tc>
          <w:tcPr>
            <w:tcW w:w="2331" w:type="dxa"/>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福州市食品药品检验所</w:t>
            </w:r>
          </w:p>
        </w:tc>
        <w:tc>
          <w:tcPr>
            <w:tcW w:w="1823" w:type="dxa"/>
            <w:tcBorders>
              <w:top w:val="nil"/>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2015</w:t>
            </w:r>
          </w:p>
        </w:tc>
      </w:tr>
      <w:tr>
        <w:tblPrEx>
          <w:tblCellMar>
            <w:top w:w="0" w:type="dxa"/>
            <w:left w:w="108" w:type="dxa"/>
            <w:bottom w:w="0" w:type="dxa"/>
            <w:right w:w="108" w:type="dxa"/>
          </w:tblCellMar>
        </w:tblPrEx>
        <w:trPr>
          <w:trHeight w:val="327" w:hRule="atLeast"/>
        </w:trPr>
        <w:tc>
          <w:tcPr>
            <w:tcW w:w="1525" w:type="dxa"/>
            <w:vMerge w:val="restart"/>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岛津</w:t>
            </w:r>
          </w:p>
        </w:tc>
        <w:tc>
          <w:tcPr>
            <w:tcW w:w="1895" w:type="dxa"/>
            <w:vMerge w:val="restart"/>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LC-20AP</w:t>
            </w:r>
          </w:p>
        </w:tc>
        <w:tc>
          <w:tcPr>
            <w:tcW w:w="2087"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岛津</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福建农林大学</w:t>
            </w:r>
          </w:p>
        </w:tc>
        <w:tc>
          <w:tcPr>
            <w:tcW w:w="1823" w:type="dxa"/>
            <w:vMerge w:val="restart"/>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2016</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2018</w:t>
            </w:r>
          </w:p>
        </w:tc>
      </w:tr>
      <w:tr>
        <w:tblPrEx>
          <w:tblCellMar>
            <w:top w:w="0" w:type="dxa"/>
            <w:left w:w="108" w:type="dxa"/>
            <w:bottom w:w="0" w:type="dxa"/>
            <w:right w:w="108" w:type="dxa"/>
          </w:tblCellMar>
        </w:tblPrEx>
        <w:trPr>
          <w:trHeight w:val="316" w:hRule="atLeast"/>
        </w:trPr>
        <w:tc>
          <w:tcPr>
            <w:tcW w:w="1525"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szCs w:val="22"/>
              </w:rPr>
            </w:pPr>
          </w:p>
        </w:tc>
        <w:tc>
          <w:tcPr>
            <w:tcW w:w="1895"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szCs w:val="22"/>
              </w:rPr>
            </w:pPr>
          </w:p>
        </w:tc>
        <w:tc>
          <w:tcPr>
            <w:tcW w:w="2087"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szCs w:val="22"/>
              </w:rPr>
            </w:pP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福建中医药大学</w:t>
            </w:r>
          </w:p>
        </w:tc>
        <w:tc>
          <w:tcPr>
            <w:tcW w:w="1823"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p>
        </w:tc>
      </w:tr>
      <w:tr>
        <w:tblPrEx>
          <w:tblCellMar>
            <w:top w:w="0" w:type="dxa"/>
            <w:left w:w="108" w:type="dxa"/>
            <w:bottom w:w="0" w:type="dxa"/>
            <w:right w:w="108" w:type="dxa"/>
          </w:tblCellMar>
        </w:tblPrEx>
        <w:trPr>
          <w:trHeight w:val="632" w:hRule="atLeast"/>
        </w:trPr>
        <w:tc>
          <w:tcPr>
            <w:tcW w:w="1525"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品牌</w:t>
            </w:r>
          </w:p>
        </w:tc>
        <w:tc>
          <w:tcPr>
            <w:tcW w:w="3982" w:type="dxa"/>
            <w:gridSpan w:val="2"/>
            <w:tcBorders>
              <w:top w:val="nil"/>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r>
              <w:rPr>
                <w:rFonts w:hint="eastAsia" w:ascii="仿宋" w:hAnsi="仿宋" w:eastAsia="仿宋" w:cs="宋体"/>
                <w:color w:val="000000"/>
                <w:kern w:val="0"/>
                <w:sz w:val="22"/>
                <w:szCs w:val="22"/>
                <w:lang w:eastAsia="zh-TW"/>
              </w:rPr>
              <w:t>优点</w:t>
            </w:r>
          </w:p>
        </w:tc>
        <w:tc>
          <w:tcPr>
            <w:tcW w:w="4154" w:type="dxa"/>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r>
              <w:rPr>
                <w:rFonts w:hint="eastAsia" w:ascii="仿宋" w:hAnsi="仿宋" w:eastAsia="仿宋" w:cs="宋体"/>
                <w:color w:val="000000"/>
                <w:kern w:val="0"/>
                <w:sz w:val="22"/>
                <w:szCs w:val="22"/>
                <w:lang w:eastAsia="zh-TW"/>
              </w:rPr>
              <w:t>缺点</w:t>
            </w:r>
          </w:p>
        </w:tc>
      </w:tr>
      <w:tr>
        <w:tblPrEx>
          <w:tblCellMar>
            <w:top w:w="0" w:type="dxa"/>
            <w:left w:w="108" w:type="dxa"/>
            <w:bottom w:w="0" w:type="dxa"/>
            <w:right w:w="108" w:type="dxa"/>
          </w:tblCellMar>
        </w:tblPrEx>
        <w:trPr>
          <w:trHeight w:val="600" w:hRule="atLeast"/>
        </w:trPr>
        <w:tc>
          <w:tcPr>
            <w:tcW w:w="1525"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岛津</w:t>
            </w:r>
          </w:p>
        </w:tc>
        <w:tc>
          <w:tcPr>
            <w:tcW w:w="3982" w:type="dxa"/>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输液泵稳定，自动馏分收集，配件便宜</w:t>
            </w:r>
          </w:p>
        </w:tc>
        <w:tc>
          <w:tcPr>
            <w:tcW w:w="4154" w:type="dxa"/>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PMingLiU" w:cs="宋体"/>
                <w:color w:val="000000"/>
                <w:kern w:val="0"/>
                <w:sz w:val="22"/>
                <w:szCs w:val="22"/>
                <w:lang w:eastAsia="zh-TW"/>
              </w:rPr>
            </w:pPr>
            <w:r>
              <w:rPr>
                <w:rFonts w:hint="eastAsia" w:ascii="仿宋" w:hAnsi="仿宋" w:eastAsia="仿宋" w:cs="宋体"/>
                <w:color w:val="000000"/>
                <w:kern w:val="0"/>
                <w:sz w:val="22"/>
                <w:szCs w:val="22"/>
                <w:lang w:eastAsia="zh-TW"/>
              </w:rPr>
              <w:t xml:space="preserve"> </w:t>
            </w:r>
          </w:p>
        </w:tc>
      </w:tr>
      <w:tr>
        <w:tblPrEx>
          <w:tblCellMar>
            <w:top w:w="0" w:type="dxa"/>
            <w:left w:w="108" w:type="dxa"/>
            <w:bottom w:w="0" w:type="dxa"/>
            <w:right w:w="108" w:type="dxa"/>
          </w:tblCellMar>
        </w:tblPrEx>
        <w:trPr>
          <w:trHeight w:val="655" w:hRule="atLeast"/>
        </w:trPr>
        <w:tc>
          <w:tcPr>
            <w:tcW w:w="1525"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沃特世 Waters</w:t>
            </w:r>
          </w:p>
        </w:tc>
        <w:tc>
          <w:tcPr>
            <w:tcW w:w="3982" w:type="dxa"/>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输液泵稳定</w:t>
            </w:r>
          </w:p>
        </w:tc>
        <w:tc>
          <w:tcPr>
            <w:tcW w:w="4154" w:type="dxa"/>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　</w:t>
            </w:r>
            <w:r>
              <w:rPr>
                <w:rFonts w:hint="eastAsia" w:ascii="仿宋" w:hAnsi="仿宋" w:eastAsia="仿宋" w:cs="宋体"/>
                <w:color w:val="000000"/>
                <w:kern w:val="0"/>
                <w:sz w:val="22"/>
                <w:szCs w:val="22"/>
              </w:rPr>
              <w:t>自动进样器残留大</w:t>
            </w:r>
          </w:p>
        </w:tc>
      </w:tr>
      <w:tr>
        <w:tblPrEx>
          <w:tblCellMar>
            <w:top w:w="0" w:type="dxa"/>
            <w:left w:w="108" w:type="dxa"/>
            <w:bottom w:w="0" w:type="dxa"/>
            <w:right w:w="108" w:type="dxa"/>
          </w:tblCellMar>
        </w:tblPrEx>
        <w:trPr>
          <w:trHeight w:val="570" w:hRule="atLeast"/>
        </w:trPr>
        <w:tc>
          <w:tcPr>
            <w:tcW w:w="1525"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安捷伦 Agilent</w:t>
            </w:r>
          </w:p>
        </w:tc>
        <w:tc>
          <w:tcPr>
            <w:tcW w:w="3982" w:type="dxa"/>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检测器灵敏度高</w:t>
            </w:r>
          </w:p>
        </w:tc>
        <w:tc>
          <w:tcPr>
            <w:tcW w:w="4154" w:type="dxa"/>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　</w:t>
            </w:r>
            <w:r>
              <w:rPr>
                <w:rFonts w:hint="eastAsia" w:ascii="仿宋" w:hAnsi="仿宋" w:eastAsia="仿宋" w:cs="宋体"/>
                <w:color w:val="000000"/>
                <w:kern w:val="0"/>
                <w:sz w:val="22"/>
                <w:szCs w:val="22"/>
              </w:rPr>
              <w:t>需手动收集组分</w:t>
            </w:r>
          </w:p>
        </w:tc>
      </w:tr>
      <w:tr>
        <w:tblPrEx>
          <w:tblCellMar>
            <w:top w:w="0" w:type="dxa"/>
            <w:left w:w="108" w:type="dxa"/>
            <w:bottom w:w="0" w:type="dxa"/>
            <w:right w:w="108" w:type="dxa"/>
          </w:tblCellMar>
        </w:tblPrEx>
        <w:trPr>
          <w:trHeight w:val="878" w:hRule="atLeast"/>
        </w:trPr>
        <w:tc>
          <w:tcPr>
            <w:tcW w:w="9661" w:type="dxa"/>
            <w:gridSpan w:val="5"/>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同类项目所用仪器设备的优缺点（提供不少于三家制造公司的仪器设备）</w:t>
            </w:r>
          </w:p>
        </w:tc>
      </w:tr>
      <w:tr>
        <w:tblPrEx>
          <w:tblCellMar>
            <w:top w:w="0" w:type="dxa"/>
            <w:left w:w="108" w:type="dxa"/>
            <w:bottom w:w="0" w:type="dxa"/>
            <w:right w:w="108" w:type="dxa"/>
          </w:tblCellMar>
        </w:tblPrEx>
        <w:trPr>
          <w:trHeight w:val="868" w:hRule="atLeast"/>
        </w:trPr>
        <w:tc>
          <w:tcPr>
            <w:tcW w:w="1525" w:type="dxa"/>
            <w:vMerge w:val="restart"/>
            <w:tcBorders>
              <w:top w:val="single" w:color="auto" w:sz="4" w:space="0"/>
              <w:left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主要性能</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szCs w:val="22"/>
              </w:rPr>
            </w:pPr>
            <w:r>
              <w:rPr>
                <w:rFonts w:hint="eastAsia" w:ascii="等线" w:hAnsi="等线" w:eastAsia="等线" w:cs="宋体"/>
                <w:color w:val="000000"/>
                <w:kern w:val="0"/>
                <w:sz w:val="22"/>
                <w:szCs w:val="22"/>
              </w:rPr>
              <w:t>　</w:t>
            </w:r>
          </w:p>
        </w:tc>
        <w:tc>
          <w:tcPr>
            <w:tcW w:w="1895"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b/>
                <w:bCs/>
                <w:color w:val="000000"/>
                <w:kern w:val="0"/>
                <w:szCs w:val="21"/>
              </w:rPr>
            </w:pPr>
            <w:r>
              <w:rPr>
                <w:rFonts w:hint="eastAsia" w:ascii="仿宋" w:hAnsi="仿宋" w:eastAsia="仿宋" w:cs="宋体"/>
                <w:color w:val="000000"/>
                <w:kern w:val="0"/>
                <w:sz w:val="22"/>
                <w:szCs w:val="22"/>
                <w:lang w:val="en-US" w:eastAsia="zh-CN"/>
              </w:rPr>
              <w:t>厂家</w:t>
            </w:r>
            <w:r>
              <w:rPr>
                <w:rFonts w:hint="eastAsia" w:ascii="仿宋" w:hAnsi="仿宋" w:eastAsia="仿宋" w:cs="宋体"/>
                <w:color w:val="000000"/>
                <w:kern w:val="0"/>
                <w:sz w:val="22"/>
                <w:szCs w:val="22"/>
                <w:lang w:eastAsia="zh-TW"/>
              </w:rPr>
              <w:t xml:space="preserve">型号   </w:t>
            </w:r>
            <w:r>
              <w:rPr>
                <w:rFonts w:hint="eastAsia" w:ascii="宋体" w:hAnsi="宋体" w:eastAsia="宋体" w:cs="宋体"/>
                <w:b/>
                <w:bCs/>
                <w:color w:val="000000"/>
                <w:kern w:val="0"/>
                <w:szCs w:val="21"/>
              </w:rPr>
              <w:t xml:space="preserve">  </w:t>
            </w:r>
          </w:p>
        </w:tc>
        <w:tc>
          <w:tcPr>
            <w:tcW w:w="208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color w:val="000000"/>
                <w:kern w:val="0"/>
                <w:szCs w:val="21"/>
              </w:rPr>
            </w:pPr>
            <w:r>
              <w:rPr>
                <w:rFonts w:hint="eastAsia" w:ascii="仿宋" w:hAnsi="仿宋" w:eastAsia="仿宋" w:cs="宋体"/>
                <w:color w:val="000000"/>
                <w:kern w:val="0"/>
                <w:sz w:val="22"/>
                <w:szCs w:val="22"/>
                <w:lang w:eastAsia="zh-TW"/>
              </w:rPr>
              <w:t>岛津</w:t>
            </w:r>
            <w:r>
              <w:rPr>
                <w:rFonts w:hint="eastAsia" w:ascii="宋体" w:hAnsi="宋体" w:eastAsia="宋体" w:cs="宋体"/>
                <w:color w:val="000000"/>
                <w:kern w:val="0"/>
                <w:szCs w:val="21"/>
              </w:rPr>
              <w:t>LC-20AP</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val="en-US" w:eastAsia="zh-TW"/>
              </w:rPr>
              <w:t>沃特世 Waters</w:t>
            </w:r>
            <w:r>
              <w:rPr>
                <w:rFonts w:hint="eastAsia" w:ascii="仿宋" w:hAnsi="仿宋" w:eastAsia="仿宋" w:cs="宋体"/>
                <w:color w:val="000000"/>
                <w:kern w:val="0"/>
                <w:sz w:val="22"/>
                <w:szCs w:val="22"/>
                <w:lang w:val="en-US" w:eastAsia="zh-CN"/>
              </w:rPr>
              <w:t xml:space="preserve">2535 Quaternary </w:t>
            </w:r>
            <w:r>
              <w:rPr>
                <w:rFonts w:hint="eastAsia" w:ascii="仿宋" w:hAnsi="仿宋" w:eastAsia="仿宋" w:cs="宋体"/>
                <w:color w:val="000000"/>
                <w:kern w:val="0"/>
                <w:sz w:val="22"/>
                <w:szCs w:val="22"/>
                <w:lang w:eastAsia="zh-TW"/>
              </w:rPr>
              <w:t>Gradient Module</w:t>
            </w:r>
          </w:p>
        </w:tc>
        <w:tc>
          <w:tcPr>
            <w:tcW w:w="1823"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val="en-US" w:eastAsia="zh-TW"/>
              </w:rPr>
              <w:t xml:space="preserve">安捷伦 Agilent1260 </w:t>
            </w:r>
            <w:r>
              <w:rPr>
                <w:rFonts w:hint="eastAsia" w:ascii="仿宋" w:hAnsi="仿宋" w:eastAsia="仿宋" w:cs="宋体"/>
                <w:color w:val="000000"/>
                <w:kern w:val="0"/>
                <w:sz w:val="22"/>
                <w:szCs w:val="22"/>
                <w:lang w:eastAsia="zh-TW"/>
              </w:rPr>
              <w:t>Infinity</w:t>
            </w:r>
          </w:p>
        </w:tc>
      </w:tr>
      <w:tr>
        <w:tblPrEx>
          <w:tblCellMar>
            <w:top w:w="0" w:type="dxa"/>
            <w:left w:w="108" w:type="dxa"/>
            <w:bottom w:w="0" w:type="dxa"/>
            <w:right w:w="108" w:type="dxa"/>
          </w:tblCellMar>
        </w:tblPrEx>
        <w:trPr>
          <w:trHeight w:val="456" w:hRule="atLeast"/>
        </w:trPr>
        <w:tc>
          <w:tcPr>
            <w:tcW w:w="1525" w:type="dxa"/>
            <w:vMerge w:val="continue"/>
            <w:tcBorders>
              <w:left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宋体"/>
                <w:color w:val="000000"/>
                <w:kern w:val="0"/>
                <w:sz w:val="22"/>
                <w:szCs w:val="22"/>
              </w:rPr>
            </w:pPr>
          </w:p>
        </w:tc>
        <w:tc>
          <w:tcPr>
            <w:tcW w:w="18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 xml:space="preserve">类型          </w:t>
            </w:r>
          </w:p>
        </w:tc>
        <w:tc>
          <w:tcPr>
            <w:tcW w:w="208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并联双柱塞</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并联双柱塞</w:t>
            </w:r>
          </w:p>
        </w:tc>
        <w:tc>
          <w:tcPr>
            <w:tcW w:w="1823"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串联双柱塞</w:t>
            </w:r>
          </w:p>
        </w:tc>
      </w:tr>
      <w:tr>
        <w:tblPrEx>
          <w:tblCellMar>
            <w:top w:w="0" w:type="dxa"/>
            <w:left w:w="108" w:type="dxa"/>
            <w:bottom w:w="0" w:type="dxa"/>
            <w:right w:w="108" w:type="dxa"/>
          </w:tblCellMar>
        </w:tblPrEx>
        <w:trPr>
          <w:trHeight w:val="470" w:hRule="atLeast"/>
        </w:trPr>
        <w:tc>
          <w:tcPr>
            <w:tcW w:w="1525" w:type="dxa"/>
            <w:vMerge w:val="continue"/>
            <w:tcBorders>
              <w:left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p>
        </w:tc>
        <w:tc>
          <w:tcPr>
            <w:tcW w:w="18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 xml:space="preserve">最大压力           </w:t>
            </w:r>
          </w:p>
        </w:tc>
        <w:tc>
          <w:tcPr>
            <w:tcW w:w="208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42MPa</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　</w:t>
            </w:r>
          </w:p>
        </w:tc>
        <w:tc>
          <w:tcPr>
            <w:tcW w:w="1823"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　</w:t>
            </w:r>
          </w:p>
        </w:tc>
      </w:tr>
      <w:tr>
        <w:tblPrEx>
          <w:tblCellMar>
            <w:top w:w="0" w:type="dxa"/>
            <w:left w:w="108" w:type="dxa"/>
            <w:bottom w:w="0" w:type="dxa"/>
            <w:right w:w="108" w:type="dxa"/>
          </w:tblCellMar>
        </w:tblPrEx>
        <w:trPr>
          <w:trHeight w:val="550" w:hRule="atLeast"/>
        </w:trPr>
        <w:tc>
          <w:tcPr>
            <w:tcW w:w="1525" w:type="dxa"/>
            <w:vMerge w:val="continue"/>
            <w:tcBorders>
              <w:left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p>
        </w:tc>
        <w:tc>
          <w:tcPr>
            <w:tcW w:w="18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 xml:space="preserve">流速范围         </w:t>
            </w:r>
          </w:p>
        </w:tc>
        <w:tc>
          <w:tcPr>
            <w:tcW w:w="208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0.01～150.000mL/min</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0.5 -50mL/min</w:t>
            </w:r>
          </w:p>
        </w:tc>
        <w:tc>
          <w:tcPr>
            <w:tcW w:w="1823"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0.001-100mL/min</w:t>
            </w:r>
          </w:p>
        </w:tc>
      </w:tr>
      <w:tr>
        <w:tblPrEx>
          <w:tblCellMar>
            <w:top w:w="0" w:type="dxa"/>
            <w:left w:w="108" w:type="dxa"/>
            <w:bottom w:w="0" w:type="dxa"/>
            <w:right w:w="108" w:type="dxa"/>
          </w:tblCellMar>
        </w:tblPrEx>
        <w:trPr>
          <w:trHeight w:val="550" w:hRule="atLeast"/>
        </w:trPr>
        <w:tc>
          <w:tcPr>
            <w:tcW w:w="1525" w:type="dxa"/>
            <w:vMerge w:val="continue"/>
            <w:tcBorders>
              <w:left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p>
        </w:tc>
        <w:tc>
          <w:tcPr>
            <w:tcW w:w="18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 xml:space="preserve">流速准确度         </w:t>
            </w:r>
          </w:p>
        </w:tc>
        <w:tc>
          <w:tcPr>
            <w:tcW w:w="208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≤±1.0 %或±10 uL/min，</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w:t>
            </w:r>
          </w:p>
        </w:tc>
        <w:tc>
          <w:tcPr>
            <w:tcW w:w="1823"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0.01ml/min</w:t>
            </w:r>
          </w:p>
        </w:tc>
      </w:tr>
      <w:tr>
        <w:tblPrEx>
          <w:tblCellMar>
            <w:top w:w="0" w:type="dxa"/>
            <w:left w:w="108" w:type="dxa"/>
            <w:bottom w:w="0" w:type="dxa"/>
            <w:right w:w="108" w:type="dxa"/>
          </w:tblCellMar>
        </w:tblPrEx>
        <w:trPr>
          <w:trHeight w:val="416" w:hRule="atLeast"/>
        </w:trPr>
        <w:tc>
          <w:tcPr>
            <w:tcW w:w="1525" w:type="dxa"/>
            <w:vMerge w:val="continue"/>
            <w:tcBorders>
              <w:left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p>
        </w:tc>
        <w:tc>
          <w:tcPr>
            <w:tcW w:w="18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 xml:space="preserve">流速精密度         </w:t>
            </w:r>
          </w:p>
        </w:tc>
        <w:tc>
          <w:tcPr>
            <w:tcW w:w="208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RSD&lt;0.1%-</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w:t>
            </w:r>
          </w:p>
        </w:tc>
        <w:tc>
          <w:tcPr>
            <w:tcW w:w="1823"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±0.01%</w:t>
            </w:r>
          </w:p>
        </w:tc>
      </w:tr>
      <w:tr>
        <w:tblPrEx>
          <w:tblCellMar>
            <w:top w:w="0" w:type="dxa"/>
            <w:left w:w="108" w:type="dxa"/>
            <w:bottom w:w="0" w:type="dxa"/>
            <w:right w:w="108" w:type="dxa"/>
          </w:tblCellMar>
        </w:tblPrEx>
        <w:trPr>
          <w:trHeight w:val="418" w:hRule="atLeast"/>
        </w:trPr>
        <w:tc>
          <w:tcPr>
            <w:tcW w:w="1525" w:type="dxa"/>
            <w:vMerge w:val="continue"/>
            <w:tcBorders>
              <w:left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p>
        </w:tc>
        <w:tc>
          <w:tcPr>
            <w:tcW w:w="18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紫外检测器噪声</w:t>
            </w:r>
          </w:p>
        </w:tc>
        <w:tc>
          <w:tcPr>
            <w:tcW w:w="208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低于 0.45x10-5 AU</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低于 0.9x10-5 AU</w:t>
            </w:r>
          </w:p>
        </w:tc>
        <w:tc>
          <w:tcPr>
            <w:tcW w:w="1823"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1.4x10-5 AU</w:t>
            </w:r>
          </w:p>
        </w:tc>
      </w:tr>
      <w:tr>
        <w:tblPrEx>
          <w:tblCellMar>
            <w:top w:w="0" w:type="dxa"/>
            <w:left w:w="108" w:type="dxa"/>
            <w:bottom w:w="0" w:type="dxa"/>
            <w:right w:w="108" w:type="dxa"/>
          </w:tblCellMar>
        </w:tblPrEx>
        <w:trPr>
          <w:trHeight w:val="429" w:hRule="atLeast"/>
        </w:trPr>
        <w:tc>
          <w:tcPr>
            <w:tcW w:w="1525" w:type="dxa"/>
            <w:vMerge w:val="continue"/>
            <w:tcBorders>
              <w:left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p>
        </w:tc>
        <w:tc>
          <w:tcPr>
            <w:tcW w:w="18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样品交叉污染</w:t>
            </w:r>
          </w:p>
        </w:tc>
        <w:tc>
          <w:tcPr>
            <w:tcW w:w="208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0.0005 % 以内</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0.001</w:t>
            </w:r>
          </w:p>
        </w:tc>
        <w:tc>
          <w:tcPr>
            <w:tcW w:w="1823"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0.00003</w:t>
            </w:r>
          </w:p>
        </w:tc>
      </w:tr>
      <w:tr>
        <w:tblPrEx>
          <w:tblCellMar>
            <w:top w:w="0" w:type="dxa"/>
            <w:left w:w="108" w:type="dxa"/>
            <w:bottom w:w="0" w:type="dxa"/>
            <w:right w:w="108" w:type="dxa"/>
          </w:tblCellMar>
        </w:tblPrEx>
        <w:trPr>
          <w:trHeight w:val="423" w:hRule="atLeast"/>
        </w:trPr>
        <w:tc>
          <w:tcPr>
            <w:tcW w:w="1525" w:type="dxa"/>
            <w:vMerge w:val="continue"/>
            <w:tcBorders>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等线" w:hAnsi="等线" w:eastAsia="等线" w:cs="宋体"/>
                <w:color w:val="000000"/>
                <w:kern w:val="0"/>
                <w:sz w:val="22"/>
                <w:szCs w:val="22"/>
              </w:rPr>
            </w:pPr>
          </w:p>
        </w:tc>
        <w:tc>
          <w:tcPr>
            <w:tcW w:w="18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进样可重复性</w:t>
            </w:r>
          </w:p>
        </w:tc>
        <w:tc>
          <w:tcPr>
            <w:tcW w:w="208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 xml:space="preserve">0.15% RSD </w:t>
            </w:r>
          </w:p>
        </w:tc>
        <w:tc>
          <w:tcPr>
            <w:tcW w:w="233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 xml:space="preserve">0.5 % RSD </w:t>
            </w:r>
          </w:p>
        </w:tc>
        <w:tc>
          <w:tcPr>
            <w:tcW w:w="1823"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宋体"/>
                <w:color w:val="000000"/>
                <w:kern w:val="0"/>
                <w:sz w:val="22"/>
                <w:szCs w:val="22"/>
                <w:lang w:eastAsia="zh-TW"/>
              </w:rPr>
            </w:pPr>
            <w:r>
              <w:rPr>
                <w:rFonts w:hint="eastAsia" w:ascii="仿宋" w:hAnsi="仿宋" w:eastAsia="仿宋" w:cs="宋体"/>
                <w:color w:val="000000"/>
                <w:kern w:val="0"/>
                <w:sz w:val="22"/>
                <w:szCs w:val="22"/>
                <w:lang w:eastAsia="zh-TW"/>
              </w:rPr>
              <w:t>&lt;0.2%RSD</w:t>
            </w:r>
          </w:p>
        </w:tc>
      </w:tr>
      <w:tr>
        <w:tblPrEx>
          <w:tblCellMar>
            <w:top w:w="0" w:type="dxa"/>
            <w:left w:w="108" w:type="dxa"/>
            <w:bottom w:w="0" w:type="dxa"/>
            <w:right w:w="108" w:type="dxa"/>
          </w:tblCellMar>
        </w:tblPrEx>
        <w:trPr>
          <w:trHeight w:val="647" w:hRule="atLeast"/>
        </w:trPr>
        <w:tc>
          <w:tcPr>
            <w:tcW w:w="1525" w:type="dxa"/>
            <w:tcBorders>
              <w:top w:val="nil"/>
              <w:left w:val="single" w:color="auto" w:sz="8" w:space="0"/>
              <w:bottom w:val="single" w:color="auto" w:sz="4"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市场情况和价格比较</w:t>
            </w:r>
          </w:p>
        </w:tc>
        <w:tc>
          <w:tcPr>
            <w:tcW w:w="1895"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市场情况</w:t>
            </w:r>
          </w:p>
        </w:tc>
        <w:tc>
          <w:tcPr>
            <w:tcW w:w="2087"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研发机构使用较多</w:t>
            </w:r>
          </w:p>
        </w:tc>
        <w:tc>
          <w:tcPr>
            <w:tcW w:w="2331"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部分高校使用</w:t>
            </w:r>
          </w:p>
        </w:tc>
        <w:tc>
          <w:tcPr>
            <w:tcW w:w="1823"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使用单位很少</w:t>
            </w:r>
          </w:p>
        </w:tc>
      </w:tr>
      <w:tr>
        <w:tblPrEx>
          <w:tblCellMar>
            <w:top w:w="0" w:type="dxa"/>
            <w:left w:w="108" w:type="dxa"/>
            <w:bottom w:w="0" w:type="dxa"/>
            <w:right w:w="108" w:type="dxa"/>
          </w:tblCellMar>
        </w:tblPrEx>
        <w:trPr>
          <w:trHeight w:val="1007" w:hRule="atLeast"/>
        </w:trPr>
        <w:tc>
          <w:tcPr>
            <w:tcW w:w="1525"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售后服务</w:t>
            </w:r>
          </w:p>
        </w:tc>
        <w:tc>
          <w:tcPr>
            <w:tcW w:w="1895" w:type="dxa"/>
            <w:tcBorders>
              <w:top w:val="nil"/>
              <w:left w:val="single" w:color="auto" w:sz="4" w:space="0"/>
              <w:bottom w:val="single" w:color="auto" w:sz="4"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lang w:eastAsia="zh-TW"/>
              </w:rPr>
              <w:t>技术支持及服务响应服务响应</w:t>
            </w:r>
          </w:p>
        </w:tc>
        <w:tc>
          <w:tcPr>
            <w:tcW w:w="2087" w:type="dxa"/>
            <w:tcBorders>
              <w:top w:val="nil"/>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厦门、福州均常驻工程师可以提供本地化服务</w:t>
            </w:r>
          </w:p>
        </w:tc>
        <w:tc>
          <w:tcPr>
            <w:tcW w:w="2331"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厦门、福州均常驻工程师可以提供本地化服务</w:t>
            </w:r>
          </w:p>
        </w:tc>
        <w:tc>
          <w:tcPr>
            <w:tcW w:w="1823"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无本地化服务，需从上海支援，成本高，响应慢</w:t>
            </w:r>
          </w:p>
        </w:tc>
      </w:tr>
    </w:tbl>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四、条件准备情况</w:t>
      </w:r>
    </w:p>
    <w:p>
      <w:pPr>
        <w:snapToGrid w:val="0"/>
        <w:spacing w:line="540" w:lineRule="exact"/>
        <w:ind w:firstLine="640" w:firstLineChars="200"/>
        <w:jc w:val="left"/>
        <w:rPr>
          <w:rFonts w:hint="eastAsia" w:ascii="仿宋" w:hAnsi="仿宋" w:eastAsia="仿宋" w:cs="仿宋_GB2312"/>
          <w:color w:val="000000"/>
          <w:sz w:val="32"/>
          <w:szCs w:val="32"/>
        </w:rPr>
      </w:pPr>
      <w:r>
        <w:rPr>
          <w:rFonts w:hint="eastAsia" w:ascii="仿宋" w:hAnsi="仿宋" w:eastAsia="仿宋" w:cs="仿宋_GB2312"/>
          <w:color w:val="000000"/>
          <w:sz w:val="32"/>
          <w:szCs w:val="32"/>
        </w:rPr>
        <w:t>实验室具备电（220V单相电源）、通风（排气系统）、实验平台（尺寸大于长8</w:t>
      </w:r>
      <w:r>
        <w:rPr>
          <w:rFonts w:ascii="仿宋" w:hAnsi="仿宋" w:eastAsia="仿宋" w:cs="仿宋_GB2312"/>
          <w:color w:val="000000"/>
          <w:sz w:val="32"/>
          <w:szCs w:val="32"/>
        </w:rPr>
        <w:t>0</w:t>
      </w:r>
      <w:r>
        <w:rPr>
          <w:rFonts w:hint="eastAsia" w:ascii="仿宋" w:hAnsi="仿宋" w:eastAsia="仿宋" w:cs="仿宋_GB2312"/>
          <w:color w:val="000000"/>
          <w:sz w:val="32"/>
          <w:szCs w:val="32"/>
        </w:rPr>
        <w:t xml:space="preserve"> x 宽</w:t>
      </w:r>
      <w:r>
        <w:rPr>
          <w:rFonts w:ascii="仿宋" w:hAnsi="仿宋" w:eastAsia="仿宋" w:cs="仿宋_GB2312"/>
          <w:color w:val="000000"/>
          <w:sz w:val="32"/>
          <w:szCs w:val="32"/>
        </w:rPr>
        <w:t>70</w:t>
      </w:r>
      <w:r>
        <w:rPr>
          <w:rFonts w:hint="eastAsia" w:ascii="仿宋" w:hAnsi="仿宋" w:eastAsia="仿宋" w:cs="仿宋_GB2312"/>
          <w:color w:val="000000"/>
          <w:sz w:val="32"/>
          <w:szCs w:val="32"/>
        </w:rPr>
        <w:t xml:space="preserve"> cm, 可以承</w:t>
      </w:r>
      <w:r>
        <w:rPr>
          <w:rFonts w:ascii="仿宋" w:hAnsi="仿宋" w:eastAsia="仿宋" w:cs="仿宋_GB2312"/>
          <w:color w:val="000000"/>
          <w:sz w:val="32"/>
          <w:szCs w:val="32"/>
        </w:rPr>
        <w:t>100</w:t>
      </w:r>
      <w:r>
        <w:rPr>
          <w:rFonts w:hint="eastAsia" w:ascii="仿宋" w:hAnsi="仿宋" w:eastAsia="仿宋" w:cs="仿宋_GB2312"/>
          <w:color w:val="000000"/>
          <w:sz w:val="32"/>
          <w:szCs w:val="32"/>
        </w:rPr>
        <w:t>Kg以上的设备）等安装条件。</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五、可能存在的安全性问题</w:t>
      </w:r>
    </w:p>
    <w:p>
      <w:pPr>
        <w:snapToGrid w:val="0"/>
        <w:spacing w:line="540" w:lineRule="exact"/>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该设备使用过程无放射物产生，可能产生少量废气可由通风净化系统处理，不会产生安全性问题。</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F5EE2"/>
    <w:rsid w:val="00283756"/>
    <w:rsid w:val="002B1651"/>
    <w:rsid w:val="002E4269"/>
    <w:rsid w:val="00381E33"/>
    <w:rsid w:val="00473F5D"/>
    <w:rsid w:val="004E5283"/>
    <w:rsid w:val="00696AB0"/>
    <w:rsid w:val="007743C6"/>
    <w:rsid w:val="0089603F"/>
    <w:rsid w:val="009E4FB7"/>
    <w:rsid w:val="00A23954"/>
    <w:rsid w:val="00A6360C"/>
    <w:rsid w:val="00B90A92"/>
    <w:rsid w:val="00C13CB4"/>
    <w:rsid w:val="00C86402"/>
    <w:rsid w:val="00CC4E5C"/>
    <w:rsid w:val="00DF4917"/>
    <w:rsid w:val="00E91ACF"/>
    <w:rsid w:val="00EB7E60"/>
    <w:rsid w:val="01EA0E83"/>
    <w:rsid w:val="0301396B"/>
    <w:rsid w:val="05154E61"/>
    <w:rsid w:val="07CA36B7"/>
    <w:rsid w:val="0A717628"/>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573E6A"/>
    <w:rsid w:val="40C33A32"/>
    <w:rsid w:val="47947ED7"/>
    <w:rsid w:val="483E65AE"/>
    <w:rsid w:val="4BFE6267"/>
    <w:rsid w:val="4C2A6435"/>
    <w:rsid w:val="503D722A"/>
    <w:rsid w:val="536D782E"/>
    <w:rsid w:val="55591C47"/>
    <w:rsid w:val="55E02539"/>
    <w:rsid w:val="564927D4"/>
    <w:rsid w:val="57D85FAF"/>
    <w:rsid w:val="5F131BD1"/>
    <w:rsid w:val="709541F4"/>
    <w:rsid w:val="70FF1E55"/>
    <w:rsid w:val="74543DB5"/>
    <w:rsid w:val="75792336"/>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uiPriority w:val="0"/>
    <w:rPr>
      <w:rFonts w:asciiTheme="minorHAnsi" w:hAnsiTheme="minorHAnsi" w:eastAsiaTheme="minorEastAsia" w:cstheme="minorBidi"/>
      <w:kern w:val="2"/>
      <w:sz w:val="18"/>
      <w:szCs w:val="18"/>
    </w:rPr>
  </w:style>
  <w:style w:type="character" w:customStyle="1" w:styleId="14">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810</Words>
  <Characters>1088</Characters>
  <Lines>4</Lines>
  <Paragraphs>2</Paragraphs>
  <TotalTime>10</TotalTime>
  <ScaleCrop>false</ScaleCrop>
  <LinksUpToDate>false</LinksUpToDate>
  <CharactersWithSpaces>1191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2022-04-21T07:05:44Z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62737996527D4D749885DEC555C236FB</vt:lpwstr>
  </property>
</Properties>
</file>