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w:t>
      </w:r>
      <w:r>
        <w:rPr>
          <w:rFonts w:ascii="方正小标宋简体" w:hAnsi="方正小标宋简体" w:eastAsia="方正小标宋简体" w:cs="方正小标宋简体"/>
          <w:b/>
          <w:bCs/>
          <w:color w:val="000000"/>
          <w:sz w:val="44"/>
          <w:szCs w:val="44"/>
        </w:rPr>
        <w:t>石</w:t>
      </w:r>
      <w:bookmarkStart w:id="0" w:name="_GoBack"/>
      <w:bookmarkEnd w:id="0"/>
      <w:r>
        <w:rPr>
          <w:rFonts w:ascii="方正小标宋简体" w:hAnsi="方正小标宋简体" w:eastAsia="方正小标宋简体" w:cs="方正小标宋简体"/>
          <w:b/>
          <w:bCs/>
          <w:color w:val="000000"/>
          <w:sz w:val="44"/>
          <w:szCs w:val="44"/>
        </w:rPr>
        <w:t>英微晶天平</w:t>
      </w:r>
      <w:r>
        <w:rPr>
          <w:rFonts w:hint="eastAsia" w:ascii="方正小标宋简体" w:hAnsi="方正小标宋简体" w:eastAsia="方正小标宋简体" w:cs="方正小标宋简体"/>
          <w:b/>
          <w:bCs/>
          <w:color w:val="000000"/>
          <w:sz w:val="44"/>
          <w:szCs w:val="44"/>
        </w:rPr>
        <w:t>需求调研情况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石英微晶天平，用于进行气体、液体的成分分析以及微质量的测量、薄膜厚度及粘弹性结构检测。清源创新实验室将承担大量科研和研究生培养工作，但目前没有石英微晶天平，无法开展相关的研究工作。鉴于上述情况，测试中心经过多轮讨论，一致认为，石英微晶天平是清源创新实验室目前需求迫切、能发挥较大效益的分析仪器。所以清源创新实验室测试中心申请购置一台主要服务于清源创新实验室、以测试为主、性能指标能够满足常规科研和教学需要、精确度高、性能稳定可靠的石英微晶天平。</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英微晶天平是一种非常灵敏的质量检测仪器，测量精度可以达到纳克量级。石英微晶天平利用了石英晶体的压电效应，将石英晶体电极表面质量变化转化为石英晶体振荡电路输出电信号的频率变化，进而通过计算机等其他辅助设备获得高精度的数据，可以用于进行气体、液体的成分分析以及微质量的测量、薄膜厚度及粘弹性结构检测等。因此该设备可为本单位各研究方向使用，特别是催化材料、电子化学品制备等领域。更重要的是，该设备具有高分辨检测功能，能对物质的结构进行精细表征，反应更全面的物性信息，提升研究的准确度和深度。该设备的引入，有利于促进清源创新实验室在催化材料以及电子化学品工艺等领域的研发工作，提升科研分析方面的水平，提高研究生的综合知识和创新能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仿宋_GB2312" w:hAnsi="仿宋_GB2312" w:eastAsia="仿宋_GB2312" w:cs="仿宋_GB2312"/>
          <w:b/>
          <w:color w:val="000000"/>
          <w:sz w:val="32"/>
          <w:szCs w:val="32"/>
          <w:lang w:val="en-GB"/>
        </w:rPr>
      </w:pPr>
      <w:r>
        <w:rPr>
          <w:rFonts w:hint="eastAsia" w:ascii="仿宋_GB2312" w:hAnsi="仿宋_GB2312" w:eastAsia="仿宋_GB2312" w:cs="仿宋_GB2312"/>
          <w:color w:val="000000"/>
          <w:sz w:val="32"/>
          <w:szCs w:val="32"/>
        </w:rPr>
        <w:t>三、国内外同类项目所用的仪器设备及优缺点对比</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54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仪器品牌</w:t>
            </w:r>
          </w:p>
        </w:tc>
        <w:tc>
          <w:tcPr>
            <w:tcW w:w="3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Biolin Scientific</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KSV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仪器型号</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Qsense Explorer</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Z500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传感器或流动池</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单传感器</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传感器上方体积</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40μL</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40μL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最小样品体积</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300μL</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500μL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工作温度</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15-65℃，通过软件控制，温度稳定性±0.02℃。</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15-65℃，通过软件控制，温度稳定性±0.02℃。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芯片配置</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金芯片：5MHz，直径14 mm，抛光，AT切割，金电极。</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金芯片：5MHz，直径14 mm，AT切割，厚度300nm。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频率范围</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1-70MHz</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1-70MHz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最大液相质量精度</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0.5 ng/cm</w:t>
            </w:r>
            <w:r>
              <w:rPr>
                <w:rFonts w:ascii="Times New Roman" w:hAnsi="Times New Roman" w:eastAsia="仿宋_GB2312" w:cs="Times New Roman"/>
                <w:color w:val="000000"/>
                <w:sz w:val="24"/>
                <w:vertAlign w:val="superscript"/>
              </w:rPr>
              <w:t xml:space="preserve">2 </w:t>
            </w:r>
            <w:r>
              <w:rPr>
                <w:rFonts w:ascii="Times New Roman" w:hAnsi="Times New Roman" w:eastAsia="仿宋_GB2312" w:cs="Times New Roman"/>
                <w:color w:val="000000"/>
                <w:sz w:val="24"/>
              </w:rPr>
              <w:t>（5pg/mm</w:t>
            </w:r>
            <w:r>
              <w:rPr>
                <w:rFonts w:ascii="Times New Roman" w:hAnsi="Times New Roman" w:eastAsia="仿宋_GB2312" w:cs="Times New Roman"/>
                <w:color w:val="000000"/>
                <w:sz w:val="24"/>
                <w:vertAlign w:val="superscript"/>
              </w:rPr>
              <w:t xml:space="preserve">2 </w:t>
            </w:r>
            <w:r>
              <w:rPr>
                <w:rFonts w:ascii="Times New Roman" w:hAnsi="Times New Roman" w:eastAsia="仿宋_GB2312" w:cs="Times New Roman"/>
                <w:color w:val="000000"/>
                <w:sz w:val="24"/>
              </w:rPr>
              <w:t>）</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0.5 ng/cm</w:t>
            </w:r>
            <w:r>
              <w:rPr>
                <w:rFonts w:ascii="Times New Roman" w:hAnsi="Times New Roman" w:eastAsia="仿宋_GB2312" w:cs="Times New Roman"/>
                <w:color w:val="000000"/>
                <w:sz w:val="24"/>
                <w:vertAlign w:val="superscript"/>
              </w:rPr>
              <w:t xml:space="preserve">2 </w:t>
            </w:r>
            <w:r>
              <w:rPr>
                <w:rFonts w:ascii="Times New Roman" w:hAnsi="Times New Roman" w:eastAsia="仿宋_GB2312" w:cs="Times New Roman"/>
                <w:color w:val="000000"/>
                <w:sz w:val="24"/>
              </w:rPr>
              <w:t>（5pg/mm</w:t>
            </w:r>
            <w:r>
              <w:rPr>
                <w:rFonts w:ascii="Times New Roman" w:hAnsi="Times New Roman" w:eastAsia="仿宋_GB2312" w:cs="Times New Roman"/>
                <w:color w:val="000000"/>
                <w:sz w:val="24"/>
                <w:vertAlign w:val="superscript"/>
              </w:rPr>
              <w:t xml:space="preserve">2 </w:t>
            </w:r>
            <w:r>
              <w:rPr>
                <w:rFonts w:ascii="Times New Roman" w:hAnsi="Times New Roman" w:eastAsia="仿宋_GB2312" w:cs="Times New Roman"/>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最大液相耗散灵敏度</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0.04×10</w:t>
            </w:r>
            <w:r>
              <w:rPr>
                <w:rFonts w:ascii="Times New Roman" w:hAnsi="Times New Roman" w:eastAsia="仿宋_GB2312" w:cs="Times New Roman"/>
                <w:color w:val="000000"/>
                <w:sz w:val="24"/>
                <w:vertAlign w:val="superscript"/>
              </w:rPr>
              <w:t>-6</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0.04×10</w:t>
            </w:r>
            <w:r>
              <w:rPr>
                <w:rFonts w:ascii="Times New Roman" w:hAnsi="Times New Roman" w:eastAsia="仿宋_GB2312" w:cs="Times New Roman"/>
                <w:color w:val="000000"/>
                <w:sz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最大时间分辨率</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单个芯片，单个频率，每秒200数据点</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单个芯片，单个频率，每秒50数据点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谐频检测</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1、3、5、7、9、11、13倍</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扫频采集带宽，在1、3、5、7、9、11、13倍基频处测量。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数据输出</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质量、厚度、粘度、剪切模量。数据拟合模式：指数拟合、双指数拟合、固定/延迟起始指数拟合、线性拟合。数据分析方法：位移宏分析、数据范围分析、上升时间分析、最大斜率分析。</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质量、厚度。数据模型：Sauerbrey模型计算质量和厚度，Voigt模型模拟质量、厚度、粘度和剪切模量。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0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选配高温模块</w:t>
            </w:r>
          </w:p>
        </w:tc>
        <w:tc>
          <w:tcPr>
            <w:tcW w:w="354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温度范围4-150℃，温度稳定性±0.02℃。</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附加外部模块进行控温，温度范围4-150℃。</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该设备使用过程无放射物产生，可能产生少量废气、废液可由通风净化系统及废液收集系统处理，不会产生安全性问题。</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81E33"/>
    <w:rsid w:val="004E5283"/>
    <w:rsid w:val="0059767E"/>
    <w:rsid w:val="006B3B44"/>
    <w:rsid w:val="006F7AFC"/>
    <w:rsid w:val="00AF2930"/>
    <w:rsid w:val="00EB7E60"/>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2C4159A"/>
    <w:rsid w:val="47947ED7"/>
    <w:rsid w:val="483E65AE"/>
    <w:rsid w:val="4BFE6267"/>
    <w:rsid w:val="4C2A6435"/>
    <w:rsid w:val="536D782E"/>
    <w:rsid w:val="55591C47"/>
    <w:rsid w:val="564927D4"/>
    <w:rsid w:val="57D85FAF"/>
    <w:rsid w:val="5ED23C04"/>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1165</Words>
  <Characters>1323</Characters>
  <Lines>2</Lines>
  <Paragraphs>2</Paragraphs>
  <TotalTime>36</TotalTime>
  <ScaleCrop>false</ScaleCrop>
  <LinksUpToDate>false</LinksUpToDate>
  <CharactersWithSpaces>1333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2022-04-21T07:11:50Z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62737996527D4D749885DEC555C236FB</vt:lpwstr>
  </property>
</Properties>
</file>