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sz w:val="44"/>
          <w:szCs w:val="44"/>
        </w:rPr>
      </w:pPr>
    </w:p>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44"/>
          <w:szCs w:val="44"/>
        </w:rPr>
        <w:t>清源创新实验室球型度测定仪需求调研情况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球型度测定仪，用于对球形样品的颗粒尺寸、形貌、球形度、长径比等形状参数进行分析。清源创新实验室将承担大量科研和研究生培养工作，但目前没有球型度测定仪，无法开展相关的研究工作。鉴于上述情况，测试中心经过多轮讨论，一致认为，球型度测定仪是清源创新实验室目前需求迫切、能发挥较大效益的分析仪器。所以清源创新实验室测试中心申请购置一台主要服务于清源创新实验室、以测试为主、性能指标能够满足常规科研和教学需要、精确度高、性能稳定可靠的球型度测定仪。</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球型度测定仪主要用于对球形样品的颗粒尺寸、形貌、球形度、长径比等形状参数进行分析，球形度的大小直接影响了颗粒的流动性和堆积性能，广泛应用于催化重整、脱氢反应、甲烷重整等反应的研究。因此该设备可为本单位各研究方向使用，特别是催化材料脱氢反应过程等相关领域的检测使用。该设备的引入，有利于促进清源创新实验室在石油化工领域的研发工作，提升科研分析方面的水平，提高研究生的综合知识和创新能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p>
      <w:pPr>
        <w:snapToGrid w:val="0"/>
        <w:spacing w:line="540" w:lineRule="exact"/>
        <w:jc w:val="left"/>
        <w:rPr>
          <w:rFonts w:ascii="仿宋_GB2312" w:hAnsi="仿宋_GB2312" w:eastAsia="仿宋_GB2312" w:cs="仿宋_GB2312"/>
          <w:b/>
          <w:color w:val="000000"/>
          <w:sz w:val="32"/>
          <w:szCs w:val="32"/>
          <w:lang w:val="en-GB"/>
        </w:rPr>
      </w:pPr>
    </w:p>
    <w:tbl>
      <w:tblPr>
        <w:tblStyle w:val="5"/>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3096"/>
        <w:gridCol w:w="2795"/>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仪器品牌</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MICROTRAC MRB</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Haver </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丹东百特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仪器型号</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CAMSIZER X2</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CPA 2-1</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BT-2900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粒度检测范围</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0.8um-8mm</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20um-30mm</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30um-10mm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光源</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LED</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LED</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摄像头</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2个高精度摄像头</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1个高速摄像头</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1个高速摄像头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精度</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＜0.1%</w:t>
            </w:r>
          </w:p>
        </w:tc>
        <w:tc>
          <w:tcPr>
            <w:tcW w:w="279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w:t>
            </w:r>
          </w:p>
        </w:tc>
        <w:tc>
          <w:tcPr>
            <w:tcW w:w="2938"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宋体" w:cs="Times New Roman"/>
                <w:color w:val="000000"/>
                <w:kern w:val="0"/>
                <w:sz w:val="22"/>
                <w:szCs w:val="22"/>
                <w:lang w:bidi="ar"/>
              </w:rPr>
              <w:t>＜</w:t>
            </w:r>
            <w:r>
              <w:rPr>
                <w:rStyle w:val="17"/>
                <w:rFonts w:eastAsia="宋体"/>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重复性</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＜0.2%</w:t>
            </w:r>
          </w:p>
        </w:tc>
        <w:tc>
          <w:tcPr>
            <w:tcW w:w="2795"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等线" w:cs="Times New Roman"/>
                <w:color w:val="000000"/>
                <w:kern w:val="0"/>
                <w:sz w:val="22"/>
                <w:szCs w:val="22"/>
                <w:lang w:bidi="ar"/>
              </w:rPr>
              <w:t>—</w:t>
            </w:r>
          </w:p>
        </w:tc>
        <w:tc>
          <w:tcPr>
            <w:tcW w:w="2938"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宋体" w:cs="Times New Roman"/>
                <w:color w:val="000000"/>
                <w:kern w:val="0"/>
                <w:sz w:val="22"/>
                <w:szCs w:val="22"/>
                <w:lang w:bidi="ar"/>
              </w:rPr>
              <w:t>＜</w:t>
            </w:r>
            <w:r>
              <w:rPr>
                <w:rStyle w:val="17"/>
                <w:rFonts w:eastAsia="宋体"/>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测量模式</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 加压气流干法分散模块X-Jet，测量范围0.8um-5mm，气压调节范围0-460KPa；</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自由落体分散模块X-Fall，测量范围10um-8mm，样品完整回收</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自由落体分散模式</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干法进样，采用电磁振动进样和自由落体分散技术，颗粒识别速度≥10000 个/分钟。拍摄速度远远大于颗粒流动速度，图像无拖尾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2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分析参数</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可以同时检测颗粒样品的颗粒度信息和形貌信息，包含五种以上的粒度定义：费雷特直径，马丁直径，等效圆直径，弦直径，Stretch径。形貌信息上包含球形度、长径比、对称性、凹凸度、圆润度，透明度等40多种ISO9276定义的形貌参数信息，实时观察检测过程，存储图像进行分析</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搭配Haver CpaServ expert使用，进行颗粒粒径分布分析，还可以进行全面的颗粒形貌分析，如：等效直径、等面积周长比、纵横比、球度、圆形度、对称性等等二十多种参数</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分析（1）粒度：包括粒度分布、典型值、最大粒径、特定区间含量、大于或小于某粒径含量。（2）粒形：长径比及分布、圆形度及分布、颗粒图像。（3）概率统计：统计一定体积粉体中的颗粒数量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26"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输出参数</w:t>
            </w:r>
          </w:p>
        </w:tc>
        <w:tc>
          <w:tcPr>
            <w:tcW w:w="3096"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（1）颗粒尺寸：最小直径，长度，平均直径等。（2）颗粒粒形：宽长比、对称性、球形度、凹凸性等</w:t>
            </w:r>
          </w:p>
        </w:tc>
        <w:tc>
          <w:tcPr>
            <w:tcW w:w="2795"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粒径分布比例和计数等多种参数</w:t>
            </w:r>
          </w:p>
        </w:tc>
        <w:tc>
          <w:tcPr>
            <w:tcW w:w="293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ascii="Times New Roman" w:hAnsi="Times New Roman" w:eastAsia="仿宋_GB2312" w:cs="Times New Roman"/>
                <w:color w:val="000000"/>
                <w:sz w:val="24"/>
              </w:rPr>
            </w:pPr>
            <w:r>
              <w:rPr>
                <w:rFonts w:ascii="Times New Roman" w:hAnsi="Times New Roman" w:eastAsia="仿宋_GB2312" w:cs="Times New Roman"/>
                <w:color w:val="000000"/>
                <w:sz w:val="24"/>
              </w:rPr>
              <w:t>（1）原始参数：样品信息、测试信息等。（2）分析数据：粒度分布、长径比、圆形度及其典型数据等。（3）分布图形：区间分布直方图和累计分布曲线等</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该设备使用过程无放射物产生，可能产生少量废料可由废料收集系统处理，不会产生安全性问题。</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left" w:pos="1798"/>
      </w:tabs>
      <w:jc w:val="left"/>
      <w:rPr>
        <w:rFonts w:hint="eastAsia" w:eastAsiaTheme="minorEastAsia"/>
        <w:lang w:eastAsia="zh-CN"/>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0D16C7"/>
    <w:rsid w:val="0014159B"/>
    <w:rsid w:val="002B1651"/>
    <w:rsid w:val="00381E33"/>
    <w:rsid w:val="004E5283"/>
    <w:rsid w:val="0059767E"/>
    <w:rsid w:val="006B3B44"/>
    <w:rsid w:val="006F7AFC"/>
    <w:rsid w:val="00872E2C"/>
    <w:rsid w:val="00AF2930"/>
    <w:rsid w:val="00EB7E60"/>
    <w:rsid w:val="01EA0E83"/>
    <w:rsid w:val="0301396B"/>
    <w:rsid w:val="05154E61"/>
    <w:rsid w:val="0ACD3951"/>
    <w:rsid w:val="0C2107A9"/>
    <w:rsid w:val="0CF462EF"/>
    <w:rsid w:val="108F4BD1"/>
    <w:rsid w:val="11C95F9C"/>
    <w:rsid w:val="1209283C"/>
    <w:rsid w:val="130628D8"/>
    <w:rsid w:val="14C94C7D"/>
    <w:rsid w:val="1E592455"/>
    <w:rsid w:val="1FBB33A3"/>
    <w:rsid w:val="221F667B"/>
    <w:rsid w:val="23130FCD"/>
    <w:rsid w:val="23201794"/>
    <w:rsid w:val="23B1063E"/>
    <w:rsid w:val="240E07A9"/>
    <w:rsid w:val="251D242F"/>
    <w:rsid w:val="257B5FDE"/>
    <w:rsid w:val="25C44658"/>
    <w:rsid w:val="26485289"/>
    <w:rsid w:val="29D46E34"/>
    <w:rsid w:val="2A67212D"/>
    <w:rsid w:val="2B087A83"/>
    <w:rsid w:val="2B2160A9"/>
    <w:rsid w:val="2B724B56"/>
    <w:rsid w:val="2C5509C3"/>
    <w:rsid w:val="2E6863BB"/>
    <w:rsid w:val="2E7F7CB6"/>
    <w:rsid w:val="304F04EB"/>
    <w:rsid w:val="30C84A8F"/>
    <w:rsid w:val="31041D87"/>
    <w:rsid w:val="33F9446E"/>
    <w:rsid w:val="3522139B"/>
    <w:rsid w:val="35BA60CE"/>
    <w:rsid w:val="39C33C94"/>
    <w:rsid w:val="3D0535B4"/>
    <w:rsid w:val="40C33A32"/>
    <w:rsid w:val="47434A1B"/>
    <w:rsid w:val="47947ED7"/>
    <w:rsid w:val="483E65AE"/>
    <w:rsid w:val="49115557"/>
    <w:rsid w:val="4BFE6267"/>
    <w:rsid w:val="4C2A6435"/>
    <w:rsid w:val="52F67C97"/>
    <w:rsid w:val="536D782E"/>
    <w:rsid w:val="55591C47"/>
    <w:rsid w:val="564927D4"/>
    <w:rsid w:val="57D85FAF"/>
    <w:rsid w:val="5F131BD1"/>
    <w:rsid w:val="6DFE7777"/>
    <w:rsid w:val="709541F4"/>
    <w:rsid w:val="70FF1E55"/>
    <w:rsid w:val="73966496"/>
    <w:rsid w:val="74543DB5"/>
    <w:rsid w:val="74B76B41"/>
    <w:rsid w:val="75613323"/>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character" w:customStyle="1" w:styleId="15">
    <w:name w:val="font71"/>
    <w:basedOn w:val="6"/>
    <w:qFormat/>
    <w:uiPriority w:val="0"/>
    <w:rPr>
      <w:rFonts w:hint="eastAsia" w:ascii="宋体" w:hAnsi="宋体" w:eastAsia="宋体" w:cs="宋体"/>
      <w:color w:val="000000"/>
      <w:sz w:val="22"/>
      <w:szCs w:val="22"/>
      <w:u w:val="none"/>
    </w:rPr>
  </w:style>
  <w:style w:type="character" w:customStyle="1" w:styleId="16">
    <w:name w:val="font51"/>
    <w:basedOn w:val="6"/>
    <w:qFormat/>
    <w:uiPriority w:val="0"/>
    <w:rPr>
      <w:rFonts w:hint="default" w:ascii="Times New Roman" w:hAnsi="Times New Roman" w:cs="Times New Roman"/>
      <w:color w:val="000000"/>
      <w:sz w:val="22"/>
      <w:szCs w:val="22"/>
      <w:u w:val="none"/>
    </w:rPr>
  </w:style>
  <w:style w:type="character" w:customStyle="1" w:styleId="17">
    <w:name w:val="font61"/>
    <w:basedOn w:val="6"/>
    <w:qFormat/>
    <w:uiPriority w:val="0"/>
    <w:rPr>
      <w:rFonts w:hint="default" w:ascii="Times New Roman" w:hAnsi="Times New Roman" w:cs="Times New Roman"/>
      <w:color w:val="000000"/>
      <w:sz w:val="22"/>
      <w:szCs w:val="22"/>
      <w:u w:val="none"/>
    </w:rPr>
  </w:style>
  <w:style w:type="character" w:customStyle="1" w:styleId="18">
    <w:name w:val="font91"/>
    <w:basedOn w:val="6"/>
    <w:qFormat/>
    <w:uiPriority w:val="0"/>
    <w:rPr>
      <w:rFonts w:hint="eastAsia" w:ascii="宋体" w:hAnsi="宋体" w:eastAsia="宋体" w:cs="宋体"/>
      <w:b/>
      <w:bCs/>
      <w:color w:val="000000"/>
      <w:sz w:val="22"/>
      <w:szCs w:val="22"/>
      <w:u w:val="none"/>
    </w:rPr>
  </w:style>
  <w:style w:type="character" w:customStyle="1" w:styleId="19">
    <w:name w:val="font8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1213</Words>
  <Characters>1353</Characters>
  <Lines>10</Lines>
  <Paragraphs>2</Paragraphs>
  <TotalTime>16</TotalTime>
  <ScaleCrop>false</ScaleCrop>
  <LinksUpToDate>false</LinksUpToDate>
  <CharactersWithSpaces>1361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2022-04-20T08:49:22Z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B464235E863C4CA99F2969A661B51ED1</vt:lpwstr>
  </property>
</Properties>
</file>