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清源创新实验室基质辅助激光解吸电离飞行时间质谱仪</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需求调研情况</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一、仪器设备使用的项目</w:t>
      </w:r>
    </w:p>
    <w:p>
      <w:pPr>
        <w:spacing w:after="156" w:afterLines="50"/>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基质辅助激光解吸电离飞行时间质谱仪（</w:t>
      </w:r>
      <w:r>
        <w:rPr>
          <w:rFonts w:hint="eastAsia" w:ascii="仿宋" w:hAnsi="仿宋" w:eastAsia="仿宋" w:cs="宋体"/>
          <w:bCs/>
          <w:color w:val="000000" w:themeColor="text1"/>
          <w:kern w:val="0"/>
          <w:sz w:val="32"/>
          <w:szCs w:val="32"/>
          <w14:textFill>
            <w14:solidFill>
              <w14:schemeClr w14:val="tx1"/>
            </w14:solidFill>
          </w14:textFill>
        </w:rPr>
        <w:t>MALDI-TOF)是一种经典的软电离生物质谱，仪器主要由两部分组成：基质辅助激光解吸电离离子源（MALDI）和飞行时间质量分析器（TOF）。MALDI-TOF具有体积小、灵敏度高、准确度高及分辨率高等特点，为生命科学、化学材料等领域提供了一种强有力的分析测试手段，并正扮演着越来越重要的作用，可用于：完整分子量测定、蛋白质鉴定、寡核苷酸或蛋白质N/C端测序、聚合物的分析</w:t>
      </w: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s="仿宋_GB2312"/>
          <w:color w:val="000000"/>
          <w:sz w:val="32"/>
          <w:szCs w:val="32"/>
        </w:rPr>
        <w:t>。电子专用化学品方向实验室计划购置的</w:t>
      </w:r>
      <w:r>
        <w:rPr>
          <w:rFonts w:hint="eastAsia" w:ascii="仿宋" w:hAnsi="仿宋" w:eastAsia="仿宋" w:cs="宋体"/>
          <w:color w:val="000000" w:themeColor="text1"/>
          <w:kern w:val="0"/>
          <w:sz w:val="32"/>
          <w:szCs w:val="32"/>
          <w14:textFill>
            <w14:solidFill>
              <w14:schemeClr w14:val="tx1"/>
            </w14:solidFill>
          </w14:textFill>
        </w:rPr>
        <w:t>基质辅助激光解吸电离飞行时间质谱仪</w:t>
      </w:r>
      <w:r>
        <w:rPr>
          <w:rFonts w:hint="eastAsia" w:ascii="仿宋" w:hAnsi="仿宋" w:eastAsia="仿宋" w:cs="仿宋_GB2312"/>
          <w:color w:val="000000"/>
          <w:sz w:val="32"/>
          <w:szCs w:val="32"/>
        </w:rPr>
        <w:t>，主要用于研发过程中聚合物的分子量测定，可服务于实验室各相关研究方向，加速电子专用化学品的工艺优</w:t>
      </w:r>
      <w:bookmarkStart w:id="0" w:name="_GoBack"/>
      <w:bookmarkEnd w:id="0"/>
      <w:r>
        <w:rPr>
          <w:rFonts w:hint="eastAsia" w:ascii="仿宋" w:hAnsi="仿宋" w:eastAsia="仿宋" w:cs="仿宋_GB2312"/>
          <w:color w:val="000000"/>
          <w:sz w:val="32"/>
          <w:szCs w:val="32"/>
        </w:rPr>
        <w:t>化，推动电子专用化学品的应用研究进程。</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二、在该项目中所承担的任务</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拟购置的</w:t>
      </w:r>
      <w:r>
        <w:rPr>
          <w:rFonts w:hint="eastAsia" w:ascii="仿宋" w:hAnsi="仿宋" w:eastAsia="仿宋" w:cs="宋体"/>
          <w:color w:val="000000" w:themeColor="text1"/>
          <w:kern w:val="0"/>
          <w:sz w:val="32"/>
          <w:szCs w:val="32"/>
          <w14:textFill>
            <w14:solidFill>
              <w14:schemeClr w14:val="tx1"/>
            </w14:solidFill>
          </w14:textFill>
        </w:rPr>
        <w:t>基质辅助激光解吸电离飞行时间质谱仪</w:t>
      </w:r>
      <w:r>
        <w:rPr>
          <w:rFonts w:hint="eastAsia" w:ascii="仿宋" w:hAnsi="仿宋" w:eastAsia="仿宋" w:cs="仿宋_GB2312"/>
          <w:color w:val="000000"/>
          <w:sz w:val="32"/>
          <w:szCs w:val="32"/>
        </w:rPr>
        <w:t>可以针对聚合物样品直接进行质谱分析，进行分子量测定。该设备的购置主要服务于清源实验室电子专用化学品方向所承担国家省部及企业合作项目及各类人才的培养。</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三、国内外同类项目所用的仪器设备及优缺点对比</w:t>
      </w:r>
    </w:p>
    <w:tbl>
      <w:tblPr>
        <w:tblStyle w:val="5"/>
        <w:tblW w:w="10197" w:type="dxa"/>
        <w:jc w:val="center"/>
        <w:tblLayout w:type="fixed"/>
        <w:tblCellMar>
          <w:top w:w="0" w:type="dxa"/>
          <w:left w:w="10" w:type="dxa"/>
          <w:bottom w:w="0" w:type="dxa"/>
          <w:right w:w="10" w:type="dxa"/>
        </w:tblCellMar>
      </w:tblPr>
      <w:tblGrid>
        <w:gridCol w:w="2122"/>
        <w:gridCol w:w="1417"/>
        <w:gridCol w:w="2188"/>
        <w:gridCol w:w="652"/>
        <w:gridCol w:w="1583"/>
        <w:gridCol w:w="168"/>
        <w:gridCol w:w="2067"/>
      </w:tblGrid>
      <w:tr>
        <w:tblPrEx>
          <w:tblCellMar>
            <w:top w:w="0" w:type="dxa"/>
            <w:left w:w="10" w:type="dxa"/>
            <w:bottom w:w="0" w:type="dxa"/>
            <w:right w:w="10" w:type="dxa"/>
          </w:tblCellMar>
        </w:tblPrEx>
        <w:trPr>
          <w:trHeight w:val="451"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名称</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型号</w:t>
            </w:r>
          </w:p>
        </w:tc>
        <w:tc>
          <w:tcPr>
            <w:tcW w:w="28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制造公司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使用单位</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购置时间</w:t>
            </w:r>
          </w:p>
        </w:tc>
      </w:tr>
      <w:tr>
        <w:tblPrEx>
          <w:tblCellMar>
            <w:top w:w="0" w:type="dxa"/>
            <w:left w:w="10" w:type="dxa"/>
            <w:bottom w:w="0" w:type="dxa"/>
            <w:right w:w="10" w:type="dxa"/>
          </w:tblCellMar>
        </w:tblPrEx>
        <w:trPr>
          <w:trHeight w:val="567"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仿宋_GB2312"/>
              </w:rPr>
            </w:pPr>
            <w:r>
              <w:rPr>
                <w:rFonts w:hint="eastAsia" w:ascii="仿宋" w:hAnsi="仿宋" w:eastAsia="仿宋" w:cs="仿宋_GB2312"/>
              </w:rPr>
              <w:t>日本岛津</w:t>
            </w:r>
            <w:r>
              <w:rPr>
                <w:rFonts w:ascii="仿宋" w:hAnsi="仿宋" w:eastAsia="仿宋"/>
                <w:color w:val="000000"/>
                <w:spacing w:val="-2"/>
              </w:rPr>
              <w:t>MALDI-8020</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ascii="仿宋" w:hAnsi="仿宋" w:eastAsia="仿宋"/>
                <w:color w:val="000000"/>
                <w:spacing w:val="-2"/>
              </w:rPr>
              <w:t>MALDI-8020</w:t>
            </w:r>
          </w:p>
        </w:tc>
        <w:tc>
          <w:tcPr>
            <w:tcW w:w="28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140"/>
              <w:jc w:val="center"/>
              <w:textAlignment w:val="auto"/>
              <w:rPr>
                <w:rFonts w:ascii="仿宋" w:hAnsi="仿宋" w:eastAsia="仿宋"/>
              </w:rPr>
            </w:pPr>
            <w:r>
              <w:rPr>
                <w:rFonts w:hint="eastAsia" w:ascii="仿宋" w:hAnsi="仿宋" w:eastAsia="仿宋" w:cs="仿宋_GB2312"/>
              </w:rPr>
              <w:t>日本岛津</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140"/>
              <w:jc w:val="center"/>
              <w:textAlignment w:val="auto"/>
              <w:rPr>
                <w:rFonts w:ascii="仿宋" w:hAnsi="仿宋" w:eastAsia="仿宋" w:cs="仿宋_GB2312"/>
                <w:color w:val="000000"/>
                <w:lang w:eastAsia="zh-CN"/>
              </w:rPr>
            </w:pPr>
            <w:r>
              <w:rPr>
                <w:rFonts w:hint="eastAsia" w:ascii="仿宋" w:hAnsi="仿宋" w:eastAsia="仿宋" w:cs="仿宋_GB2312"/>
                <w:color w:val="000000"/>
              </w:rPr>
              <w:t>中山大学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ascii="仿宋" w:hAnsi="仿宋" w:eastAsia="仿宋" w:cs="Times New Roman"/>
                <w:color w:val="000000"/>
              </w:rPr>
              <w:t>2020</w:t>
            </w:r>
          </w:p>
        </w:tc>
      </w:tr>
      <w:tr>
        <w:tblPrEx>
          <w:tblCellMar>
            <w:top w:w="0" w:type="dxa"/>
            <w:left w:w="10" w:type="dxa"/>
            <w:bottom w:w="0" w:type="dxa"/>
            <w:right w:w="10" w:type="dxa"/>
          </w:tblCellMar>
        </w:tblPrEx>
        <w:trPr>
          <w:trHeight w:val="710"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color w:val="000000"/>
                <w:spacing w:val="-2"/>
                <w:sz w:val="22"/>
                <w:szCs w:val="22"/>
              </w:rPr>
              <w:t>德国</w:t>
            </w:r>
            <w:r>
              <w:rPr>
                <w:rFonts w:ascii="仿宋" w:hAnsi="仿宋" w:eastAsia="仿宋"/>
                <w:color w:val="000000"/>
                <w:spacing w:val="-2"/>
                <w:sz w:val="22"/>
                <w:szCs w:val="22"/>
              </w:rPr>
              <w:t>Bruker</w:t>
            </w:r>
            <w:r>
              <w:rPr>
                <w:rFonts w:ascii="仿宋" w:hAnsi="仿宋" w:eastAsia="仿宋"/>
                <w:sz w:val="22"/>
                <w:szCs w:val="22"/>
              </w:rPr>
              <w:t xml:space="preserve"> </w:t>
            </w:r>
            <w:r>
              <w:rPr>
                <w:rFonts w:ascii="仿宋" w:hAnsi="仿宋" w:eastAsia="仿宋"/>
                <w:color w:val="000000"/>
                <w:sz w:val="22"/>
                <w:szCs w:val="22"/>
              </w:rPr>
              <w:t>Microflex LT/SH</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ascii="仿宋" w:hAnsi="仿宋" w:eastAsia="仿宋"/>
                <w:color w:val="000000"/>
              </w:rPr>
              <w:t>Microflex LT/SH</w:t>
            </w:r>
          </w:p>
        </w:tc>
        <w:tc>
          <w:tcPr>
            <w:tcW w:w="28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hint="eastAsia" w:ascii="仿宋" w:hAnsi="仿宋" w:eastAsia="仿宋"/>
                <w:color w:val="000000"/>
                <w:spacing w:val="-2"/>
              </w:rPr>
              <w:t>德国</w:t>
            </w:r>
            <w:r>
              <w:rPr>
                <w:rFonts w:ascii="仿宋" w:hAnsi="仿宋" w:eastAsia="仿宋"/>
                <w:color w:val="000000"/>
                <w:spacing w:val="-2"/>
              </w:rPr>
              <w:t>Bruker</w:t>
            </w:r>
            <w:r>
              <w:rPr>
                <w:rFonts w:ascii="仿宋" w:hAnsi="仿宋" w:eastAsia="仿宋"/>
              </w:rPr>
              <w:t xml:space="preserve"> </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140"/>
              <w:jc w:val="center"/>
              <w:textAlignment w:val="auto"/>
              <w:rPr>
                <w:rFonts w:ascii="仿宋" w:hAnsi="仿宋" w:eastAsia="仿宋" w:cs="仿宋_GB2312"/>
                <w:color w:val="000000"/>
                <w:lang w:eastAsia="zh-CN"/>
              </w:rPr>
            </w:pPr>
            <w:r>
              <w:rPr>
                <w:rFonts w:hint="eastAsia" w:ascii="仿宋" w:hAnsi="仿宋" w:eastAsia="仿宋" w:cs="仿宋_GB2312"/>
                <w:color w:val="000000"/>
                <w:lang w:eastAsia="zh-CN"/>
              </w:rPr>
              <w:t>南方科技大学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ascii="仿宋" w:hAnsi="仿宋" w:eastAsia="仿宋" w:cs="Times New Roman"/>
                <w:color w:val="000000"/>
              </w:rPr>
              <w:t>2017</w:t>
            </w:r>
          </w:p>
        </w:tc>
      </w:tr>
      <w:tr>
        <w:tblPrEx>
          <w:tblCellMar>
            <w:top w:w="0" w:type="dxa"/>
            <w:left w:w="10" w:type="dxa"/>
            <w:bottom w:w="0" w:type="dxa"/>
            <w:right w:w="10" w:type="dxa"/>
          </w:tblCellMar>
        </w:tblPrEx>
        <w:trPr>
          <w:trHeight w:val="816"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仿宋_GB2312"/>
              </w:rPr>
            </w:pPr>
            <w:r>
              <w:rPr>
                <w:rFonts w:hint="eastAsia" w:ascii="仿宋" w:hAnsi="仿宋" w:eastAsia="仿宋"/>
                <w:color w:val="333333"/>
              </w:rPr>
              <w:t>韩国</w:t>
            </w:r>
            <w:r>
              <w:rPr>
                <w:rFonts w:ascii="仿宋" w:hAnsi="仿宋" w:eastAsia="仿宋"/>
                <w:color w:val="000000"/>
                <w:spacing w:val="-2"/>
              </w:rPr>
              <w:t>ASTA</w:t>
            </w:r>
            <w:r>
              <w:rPr>
                <w:rFonts w:ascii="仿宋" w:hAnsi="仿宋" w:eastAsia="仿宋"/>
                <w:color w:val="000000"/>
              </w:rPr>
              <w:t xml:space="preserve"> Tinkerbell LT</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ascii="仿宋" w:hAnsi="仿宋" w:eastAsia="仿宋"/>
                <w:color w:val="000000"/>
              </w:rPr>
              <w:t>Tinkerbell LT</w:t>
            </w:r>
          </w:p>
        </w:tc>
        <w:tc>
          <w:tcPr>
            <w:tcW w:w="28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140"/>
              <w:jc w:val="center"/>
              <w:textAlignment w:val="auto"/>
              <w:rPr>
                <w:rFonts w:ascii="仿宋" w:hAnsi="仿宋" w:eastAsia="仿宋"/>
              </w:rPr>
            </w:pPr>
            <w:r>
              <w:rPr>
                <w:rFonts w:hint="eastAsia" w:ascii="仿宋" w:hAnsi="仿宋" w:eastAsia="仿宋"/>
                <w:color w:val="333333"/>
              </w:rPr>
              <w:t>韩国</w:t>
            </w:r>
            <w:r>
              <w:rPr>
                <w:rFonts w:ascii="仿宋" w:hAnsi="仿宋" w:eastAsia="仿宋"/>
                <w:color w:val="000000"/>
                <w:spacing w:val="-2"/>
              </w:rPr>
              <w:t>ASTA</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140"/>
              <w:jc w:val="center"/>
              <w:textAlignment w:val="auto"/>
              <w:rPr>
                <w:rFonts w:ascii="仿宋" w:hAnsi="仿宋" w:eastAsia="仿宋" w:cs="仿宋_GB2312"/>
                <w:color w:val="000000"/>
              </w:rPr>
            </w:pPr>
            <w:r>
              <w:rPr>
                <w:rFonts w:hint="eastAsia" w:ascii="仿宋" w:hAnsi="仿宋" w:eastAsia="仿宋" w:cs="仿宋_GB2312"/>
                <w:color w:val="000000"/>
              </w:rPr>
              <w:t>—</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rPr>
            </w:pPr>
            <w:r>
              <w:rPr>
                <w:rFonts w:hint="eastAsia" w:ascii="仿宋" w:hAnsi="仿宋" w:eastAsia="仿宋" w:cs="Times New Roman"/>
                <w:color w:val="000000"/>
              </w:rPr>
              <w:t>—</w:t>
            </w:r>
          </w:p>
        </w:tc>
      </w:tr>
      <w:tr>
        <w:tblPrEx>
          <w:tblCellMar>
            <w:top w:w="0" w:type="dxa"/>
            <w:left w:w="10" w:type="dxa"/>
            <w:bottom w:w="0" w:type="dxa"/>
            <w:right w:w="10" w:type="dxa"/>
          </w:tblCellMar>
        </w:tblPrEx>
        <w:trPr>
          <w:trHeight w:val="533" w:hRule="exact"/>
          <w:jc w:val="center"/>
        </w:trPr>
        <w:tc>
          <w:tcPr>
            <w:tcW w:w="1019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 w:hAnsi="仿宋" w:eastAsia="仿宋"/>
                <w:sz w:val="22"/>
                <w:szCs w:val="22"/>
              </w:rPr>
            </w:pPr>
            <w:r>
              <w:rPr>
                <w:rFonts w:ascii="仿宋" w:hAnsi="仿宋" w:eastAsia="仿宋"/>
                <w:color w:val="000000"/>
              </w:rPr>
              <w:t>优缺点对比</w:t>
            </w:r>
          </w:p>
        </w:tc>
      </w:tr>
      <w:tr>
        <w:tblPrEx>
          <w:tblCellMar>
            <w:top w:w="0" w:type="dxa"/>
            <w:left w:w="10" w:type="dxa"/>
            <w:bottom w:w="0" w:type="dxa"/>
            <w:right w:w="10" w:type="dxa"/>
          </w:tblCellMar>
        </w:tblPrEx>
        <w:trPr>
          <w:trHeight w:val="521"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品牌</w:t>
            </w:r>
          </w:p>
        </w:tc>
        <w:tc>
          <w:tcPr>
            <w:tcW w:w="42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rPr>
            </w:pPr>
            <w:r>
              <w:rPr>
                <w:rFonts w:hint="eastAsia" w:ascii="仿宋" w:hAnsi="仿宋" w:eastAsia="仿宋" w:cs="黑体"/>
                <w:color w:val="000000"/>
              </w:rPr>
              <w:t>优点</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jc w:val="center"/>
              <w:textAlignment w:val="auto"/>
              <w:rPr>
                <w:rFonts w:ascii="仿宋" w:hAnsi="仿宋" w:eastAsia="仿宋" w:cs="黑体"/>
              </w:rPr>
            </w:pPr>
            <w:r>
              <w:rPr>
                <w:rFonts w:hint="eastAsia" w:ascii="仿宋" w:hAnsi="仿宋" w:eastAsia="仿宋" w:cs="黑体"/>
                <w:color w:val="000000"/>
              </w:rPr>
              <w:t>缺点</w:t>
            </w:r>
          </w:p>
        </w:tc>
      </w:tr>
      <w:tr>
        <w:tblPrEx>
          <w:tblCellMar>
            <w:top w:w="0" w:type="dxa"/>
            <w:left w:w="10" w:type="dxa"/>
            <w:bottom w:w="0" w:type="dxa"/>
            <w:right w:w="10" w:type="dxa"/>
          </w:tblCellMar>
        </w:tblPrEx>
        <w:trPr>
          <w:trHeight w:val="582"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s="仿宋_GB2312"/>
              </w:rPr>
              <w:t>日本岛津</w:t>
            </w:r>
          </w:p>
        </w:tc>
        <w:tc>
          <w:tcPr>
            <w:tcW w:w="42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lang w:eastAsia="zh-CN"/>
              </w:rPr>
            </w:pPr>
            <w:r>
              <w:rPr>
                <w:rFonts w:hint="eastAsia" w:ascii="仿宋" w:hAnsi="仿宋" w:eastAsia="仿宋" w:cs="仿宋_GB2312"/>
                <w:color w:val="000000"/>
                <w:lang w:val="en-US"/>
              </w:rPr>
              <w:t>性价比高、线性模式灵敏度最高</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lang w:eastAsia="zh-CN"/>
              </w:rPr>
            </w:pPr>
            <w:r>
              <w:rPr>
                <w:rFonts w:hint="eastAsia" w:ascii="仿宋" w:hAnsi="仿宋" w:eastAsia="仿宋" w:cs="仿宋_GB2312"/>
                <w:color w:val="000000"/>
                <w:lang w:eastAsia="zh-CN"/>
              </w:rPr>
              <w:t xml:space="preserve"> </w:t>
            </w:r>
          </w:p>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s="仿宋_GB2312"/>
                <w:color w:val="000000"/>
              </w:rPr>
              <w:t>无</w:t>
            </w:r>
          </w:p>
        </w:tc>
      </w:tr>
      <w:tr>
        <w:tblPrEx>
          <w:tblCellMar>
            <w:top w:w="0" w:type="dxa"/>
            <w:left w:w="10" w:type="dxa"/>
            <w:bottom w:w="0" w:type="dxa"/>
            <w:right w:w="10" w:type="dxa"/>
          </w:tblCellMar>
        </w:tblPrEx>
        <w:trPr>
          <w:trHeight w:val="526"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color w:val="000000"/>
                <w:spacing w:val="-2"/>
                <w:sz w:val="22"/>
                <w:szCs w:val="22"/>
              </w:rPr>
              <w:t>德国</w:t>
            </w:r>
            <w:r>
              <w:rPr>
                <w:rFonts w:ascii="仿宋" w:hAnsi="仿宋" w:eastAsia="仿宋"/>
                <w:color w:val="000000"/>
                <w:spacing w:val="-2"/>
                <w:sz w:val="22"/>
                <w:szCs w:val="22"/>
              </w:rPr>
              <w:t>Bruker</w:t>
            </w:r>
          </w:p>
        </w:tc>
        <w:tc>
          <w:tcPr>
            <w:tcW w:w="42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s="仿宋_GB2312"/>
                <w:color w:val="000000"/>
                <w:lang w:eastAsia="zh-CN"/>
              </w:rPr>
              <w:t>性能稳定</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s="仿宋_GB2312"/>
                <w:color w:val="000000"/>
                <w:lang w:eastAsia="zh-CN"/>
              </w:rPr>
              <w:t>价格较高，线性模式灵敏度一般</w:t>
            </w:r>
          </w:p>
        </w:tc>
      </w:tr>
      <w:tr>
        <w:tblPrEx>
          <w:tblCellMar>
            <w:top w:w="0" w:type="dxa"/>
            <w:left w:w="10" w:type="dxa"/>
            <w:bottom w:w="0" w:type="dxa"/>
            <w:right w:w="10" w:type="dxa"/>
          </w:tblCellMar>
        </w:tblPrEx>
        <w:trPr>
          <w:trHeight w:val="504" w:hRule="exac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color w:val="333333"/>
                <w:sz w:val="22"/>
                <w:szCs w:val="22"/>
              </w:rPr>
              <w:t>韩国</w:t>
            </w:r>
            <w:r>
              <w:rPr>
                <w:rFonts w:ascii="仿宋" w:hAnsi="仿宋" w:eastAsia="仿宋"/>
                <w:color w:val="000000"/>
                <w:spacing w:val="-2"/>
                <w:sz w:val="22"/>
                <w:szCs w:val="22"/>
              </w:rPr>
              <w:t>ASTA</w:t>
            </w:r>
          </w:p>
        </w:tc>
        <w:tc>
          <w:tcPr>
            <w:tcW w:w="42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olor w:val="333333"/>
              </w:rPr>
              <w:t>专利的靶板技术和装载样本系统</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lang w:eastAsia="zh-CN"/>
              </w:rPr>
            </w:pPr>
            <w:r>
              <w:rPr>
                <w:rFonts w:hint="eastAsia" w:ascii="仿宋" w:hAnsi="仿宋" w:eastAsia="仿宋" w:cs="仿宋_GB2312"/>
                <w:color w:val="000000"/>
                <w:lang w:eastAsia="zh-CN"/>
              </w:rPr>
              <w:t>市场占有率低，售后跟不上</w:t>
            </w:r>
          </w:p>
        </w:tc>
      </w:tr>
      <w:tr>
        <w:tblPrEx>
          <w:tblCellMar>
            <w:top w:w="0" w:type="dxa"/>
            <w:left w:w="10" w:type="dxa"/>
            <w:bottom w:w="0" w:type="dxa"/>
            <w:right w:w="10" w:type="dxa"/>
          </w:tblCellMar>
        </w:tblPrEx>
        <w:trPr>
          <w:trHeight w:val="549" w:hRule="exact"/>
          <w:jc w:val="center"/>
        </w:trPr>
        <w:tc>
          <w:tcPr>
            <w:tcW w:w="10197" w:type="dxa"/>
            <w:gridSpan w:val="7"/>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left"/>
              <w:textAlignment w:val="auto"/>
              <w:rPr>
                <w:rFonts w:ascii="仿宋" w:hAnsi="仿宋" w:eastAsia="仿宋"/>
              </w:rPr>
            </w:pPr>
            <w:r>
              <w:rPr>
                <w:rFonts w:ascii="仿宋" w:hAnsi="仿宋" w:eastAsia="仿宋"/>
                <w:color w:val="000000"/>
              </w:rPr>
              <w:t>同类项目所用仪器设备的优缺点（提供不少于三家制造公司的仪器设备）</w:t>
            </w:r>
          </w:p>
        </w:tc>
      </w:tr>
      <w:tr>
        <w:tblPrEx>
          <w:tblCellMar>
            <w:top w:w="0" w:type="dxa"/>
            <w:left w:w="10" w:type="dxa"/>
            <w:bottom w:w="0" w:type="dxa"/>
            <w:right w:w="10" w:type="dxa"/>
          </w:tblCellMar>
        </w:tblPrEx>
        <w:trPr>
          <w:trHeight w:val="547" w:hRule="exact"/>
          <w:jc w:val="center"/>
        </w:trPr>
        <w:tc>
          <w:tcPr>
            <w:tcW w:w="212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color w:val="000000"/>
              </w:rPr>
            </w:pPr>
            <w:r>
              <w:rPr>
                <w:rFonts w:hint="eastAsia" w:ascii="仿宋" w:hAnsi="仿宋" w:eastAsia="仿宋" w:cs="黑体"/>
                <w:color w:val="000000"/>
              </w:rPr>
              <w:t>类别</w:t>
            </w:r>
          </w:p>
        </w:tc>
        <w:tc>
          <w:tcPr>
            <w:tcW w:w="1417"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color w:val="000000"/>
              </w:rPr>
            </w:pPr>
            <w:r>
              <w:rPr>
                <w:rFonts w:hint="eastAsia" w:ascii="仿宋" w:hAnsi="仿宋" w:eastAsia="仿宋" w:cs="黑体"/>
                <w:color w:val="000000"/>
              </w:rPr>
              <w:t>项目</w:t>
            </w:r>
          </w:p>
        </w:tc>
        <w:tc>
          <w:tcPr>
            <w:tcW w:w="2188"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color w:val="000000"/>
              </w:rPr>
            </w:pPr>
            <w:r>
              <w:rPr>
                <w:rFonts w:hint="eastAsia" w:ascii="仿宋" w:hAnsi="仿宋" w:eastAsia="仿宋"/>
                <w:color w:val="000000" w:themeColor="text1"/>
                <w:spacing w:val="-2"/>
                <w14:textFill>
                  <w14:solidFill>
                    <w14:schemeClr w14:val="tx1"/>
                  </w14:solidFill>
                </w14:textFill>
              </w:rPr>
              <w:t>岛津</w:t>
            </w:r>
            <w:r>
              <w:rPr>
                <w:rFonts w:ascii="仿宋" w:hAnsi="仿宋" w:eastAsia="仿宋"/>
                <w:color w:val="000000" w:themeColor="text1"/>
                <w:spacing w:val="-2"/>
                <w14:textFill>
                  <w14:solidFill>
                    <w14:schemeClr w14:val="tx1"/>
                  </w14:solidFill>
                </w14:textFill>
              </w:rPr>
              <w:t xml:space="preserve"> </w:t>
            </w:r>
            <w:r>
              <w:rPr>
                <w:rFonts w:ascii="仿宋" w:hAnsi="仿宋" w:eastAsia="仿宋"/>
                <w:color w:val="000000"/>
                <w:spacing w:val="-2"/>
              </w:rPr>
              <w:t>MALDI-8020</w:t>
            </w:r>
          </w:p>
        </w:tc>
        <w:tc>
          <w:tcPr>
            <w:tcW w:w="2235" w:type="dxa"/>
            <w:gridSpan w:val="2"/>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olor w:val="000000"/>
                <w:spacing w:val="-2"/>
                <w:sz w:val="22"/>
                <w:szCs w:val="22"/>
              </w:rPr>
              <w:t>Bruker</w:t>
            </w:r>
            <w:r>
              <w:rPr>
                <w:rFonts w:ascii="仿宋" w:hAnsi="仿宋" w:eastAsia="仿宋"/>
                <w:sz w:val="22"/>
                <w:szCs w:val="22"/>
              </w:rPr>
              <w:t xml:space="preserve"> </w:t>
            </w:r>
          </w:p>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color w:val="000000"/>
              </w:rPr>
            </w:pPr>
            <w:r>
              <w:rPr>
                <w:rFonts w:ascii="仿宋" w:hAnsi="仿宋" w:eastAsia="仿宋"/>
                <w:color w:val="000000"/>
              </w:rPr>
              <w:t>Microflex LT/SH</w:t>
            </w:r>
          </w:p>
        </w:tc>
        <w:tc>
          <w:tcPr>
            <w:tcW w:w="2235" w:type="dxa"/>
            <w:gridSpan w:val="2"/>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olor w:val="000000"/>
                <w:spacing w:val="-2"/>
                <w:sz w:val="22"/>
                <w:szCs w:val="22"/>
              </w:rPr>
              <w:t>ASTA</w:t>
            </w:r>
            <w:r>
              <w:rPr>
                <w:rFonts w:ascii="仿宋" w:hAnsi="仿宋" w:eastAsia="仿宋"/>
                <w:sz w:val="22"/>
                <w:szCs w:val="22"/>
              </w:rPr>
              <w:t xml:space="preserve"> </w:t>
            </w:r>
          </w:p>
          <w:p>
            <w:pPr>
              <w:pStyle w:val="11"/>
              <w:keepNext w:val="0"/>
              <w:keepLines w:val="0"/>
              <w:pageBreakBefore w:val="0"/>
              <w:widowControl w:val="0"/>
              <w:kinsoku/>
              <w:wordWrap/>
              <w:overflowPunct/>
              <w:topLinePunct w:val="0"/>
              <w:autoSpaceDE/>
              <w:autoSpaceDN/>
              <w:bidi w:val="0"/>
              <w:adjustRightInd w:val="0"/>
              <w:snapToGrid w:val="0"/>
              <w:spacing w:after="0" w:line="260" w:lineRule="exact"/>
              <w:ind w:firstLine="0"/>
              <w:jc w:val="center"/>
              <w:textAlignment w:val="auto"/>
              <w:rPr>
                <w:rFonts w:ascii="仿宋" w:hAnsi="仿宋" w:eastAsia="仿宋" w:cs="黑体"/>
                <w:color w:val="000000"/>
              </w:rPr>
            </w:pPr>
            <w:r>
              <w:rPr>
                <w:rFonts w:ascii="仿宋" w:hAnsi="仿宋" w:eastAsia="仿宋"/>
                <w:color w:val="000000"/>
              </w:rPr>
              <w:t>Tinkerbell LT</w:t>
            </w:r>
          </w:p>
        </w:tc>
      </w:tr>
      <w:tr>
        <w:tblPrEx>
          <w:tblCellMar>
            <w:top w:w="0" w:type="dxa"/>
            <w:left w:w="10" w:type="dxa"/>
            <w:bottom w:w="0" w:type="dxa"/>
            <w:right w:w="10" w:type="dxa"/>
          </w:tblCellMar>
        </w:tblPrEx>
        <w:trPr>
          <w:trHeight w:val="462" w:hRule="atLeast"/>
          <w:jc w:val="center"/>
        </w:trPr>
        <w:tc>
          <w:tcPr>
            <w:tcW w:w="2122" w:type="dxa"/>
            <w:vMerge w:val="restart"/>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s="仿宋_GB2312"/>
                <w:color w:val="000000"/>
              </w:rPr>
              <w:t>主要性能</w:t>
            </w:r>
          </w:p>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指标</w:t>
            </w: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pacing w:val="-3"/>
                <w:sz w:val="22"/>
                <w:szCs w:val="22"/>
              </w:rPr>
              <w:t>分子量范围</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sz w:val="22"/>
                <w:szCs w:val="22"/>
              </w:rPr>
              <w:t>Linear  1 - 500 kDa</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微软雅黑 Light"/>
                <w:kern w:val="0"/>
                <w:sz w:val="22"/>
                <w:szCs w:val="22"/>
                <w:lang w:eastAsia="en-US"/>
              </w:rPr>
              <w:t>Linear  1 - 300 kDa</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Î¢ÈíÑÅºÚ Light Western"/>
                <w:kern w:val="0"/>
                <w:sz w:val="22"/>
                <w:szCs w:val="22"/>
                <w:lang w:eastAsia="en-US"/>
              </w:rPr>
              <w:t>Linear  1 - 300 kDa</w:t>
            </w:r>
          </w:p>
        </w:tc>
      </w:tr>
      <w:tr>
        <w:tblPrEx>
          <w:tblCellMar>
            <w:top w:w="0" w:type="dxa"/>
            <w:left w:w="10" w:type="dxa"/>
            <w:bottom w:w="0" w:type="dxa"/>
            <w:right w:w="10" w:type="dxa"/>
          </w:tblCellMar>
        </w:tblPrEx>
        <w:trPr>
          <w:trHeight w:val="667"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线性分辨率</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&gt;5000 (ACTH, 2465 Da)</w:t>
            </w:r>
            <w:r>
              <w:rPr>
                <w:rFonts w:ascii="仿宋" w:hAnsi="仿宋" w:eastAsia="仿宋" w:cs="Arial"/>
                <w:sz w:val="22"/>
                <w:szCs w:val="22"/>
              </w:rPr>
              <w:br w:type="textWrapping"/>
            </w:r>
            <w:r>
              <w:rPr>
                <w:rFonts w:ascii="仿宋" w:hAnsi="仿宋" w:eastAsia="仿宋" w:cs="Arial"/>
                <w:sz w:val="22"/>
                <w:szCs w:val="22"/>
              </w:rPr>
              <w:t>&gt;80 (BSA, 66430 Da)</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&gt;3500 (ACTH, 2465 Da)</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&gt;4000 (ACTH, 2465 Da)</w:t>
            </w:r>
            <w:r>
              <w:rPr>
                <w:rFonts w:ascii="仿宋" w:hAnsi="仿宋" w:eastAsia="仿宋" w:cs="Arial"/>
                <w:sz w:val="22"/>
                <w:szCs w:val="22"/>
              </w:rPr>
              <w:br w:type="textWrapping"/>
            </w:r>
            <w:r>
              <w:rPr>
                <w:rFonts w:ascii="仿宋" w:hAnsi="仿宋" w:eastAsia="仿宋" w:cs="Arial"/>
                <w:sz w:val="22"/>
                <w:szCs w:val="22"/>
              </w:rPr>
              <w:t>&gt;1000 (Cyto C, 12360 Da)</w:t>
            </w:r>
          </w:p>
        </w:tc>
      </w:tr>
      <w:tr>
        <w:tblPrEx>
          <w:tblCellMar>
            <w:top w:w="0" w:type="dxa"/>
            <w:left w:w="10" w:type="dxa"/>
            <w:bottom w:w="0" w:type="dxa"/>
            <w:right w:w="10" w:type="dxa"/>
          </w:tblCellMar>
        </w:tblPrEx>
        <w:trPr>
          <w:trHeight w:val="667"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准确度</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Internal : &lt;20 ppm</w:t>
            </w:r>
            <w:r>
              <w:rPr>
                <w:rFonts w:ascii="仿宋" w:hAnsi="仿宋" w:eastAsia="仿宋" w:cs="Arial"/>
                <w:sz w:val="22"/>
                <w:szCs w:val="22"/>
              </w:rPr>
              <w:br w:type="textWrapping"/>
            </w:r>
            <w:r>
              <w:rPr>
                <w:rFonts w:ascii="仿宋" w:hAnsi="仿宋" w:eastAsia="仿宋" w:cs="Arial"/>
                <w:sz w:val="22"/>
                <w:szCs w:val="22"/>
              </w:rPr>
              <w:t>External : &lt;150 ppm</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Internal : &lt;50 ppm</w:t>
            </w:r>
            <w:r>
              <w:rPr>
                <w:rFonts w:ascii="仿宋" w:hAnsi="仿宋" w:eastAsia="仿宋" w:cs="Arial"/>
                <w:sz w:val="22"/>
                <w:szCs w:val="22"/>
              </w:rPr>
              <w:br w:type="textWrapping"/>
            </w:r>
            <w:r>
              <w:rPr>
                <w:rFonts w:ascii="仿宋" w:hAnsi="仿宋" w:eastAsia="仿宋" w:cs="Arial"/>
                <w:sz w:val="22"/>
                <w:szCs w:val="22"/>
              </w:rPr>
              <w:t>External : &lt;150 ppm</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Peptides</w:t>
            </w:r>
            <w:r>
              <w:rPr>
                <w:rFonts w:ascii="仿宋" w:hAnsi="仿宋" w:eastAsia="仿宋" w:cs="Arial"/>
                <w:sz w:val="22"/>
                <w:szCs w:val="22"/>
              </w:rPr>
              <w:br w:type="textWrapping"/>
            </w:r>
            <w:r>
              <w:rPr>
                <w:rFonts w:ascii="仿宋" w:hAnsi="仿宋" w:eastAsia="仿宋" w:cs="Arial"/>
                <w:sz w:val="22"/>
                <w:szCs w:val="22"/>
              </w:rPr>
              <w:t>Internal : &lt;100 ppm</w:t>
            </w:r>
            <w:r>
              <w:rPr>
                <w:rFonts w:ascii="仿宋" w:hAnsi="仿宋" w:eastAsia="仿宋" w:cs="Arial"/>
                <w:sz w:val="22"/>
                <w:szCs w:val="22"/>
              </w:rPr>
              <w:br w:type="textWrapping"/>
            </w:r>
            <w:r>
              <w:rPr>
                <w:rFonts w:ascii="仿宋" w:hAnsi="仿宋" w:eastAsia="仿宋" w:cs="Arial"/>
                <w:sz w:val="22"/>
                <w:szCs w:val="22"/>
              </w:rPr>
              <w:t>External : &lt;150 ppm</w:t>
            </w:r>
            <w:r>
              <w:rPr>
                <w:rFonts w:ascii="仿宋" w:hAnsi="仿宋" w:eastAsia="仿宋" w:cs="Arial"/>
                <w:sz w:val="22"/>
                <w:szCs w:val="22"/>
              </w:rPr>
              <w:br w:type="textWrapping"/>
            </w:r>
            <w:r>
              <w:rPr>
                <w:rFonts w:ascii="仿宋" w:hAnsi="仿宋" w:eastAsia="仿宋" w:cs="Arial"/>
                <w:sz w:val="22"/>
                <w:szCs w:val="22"/>
              </w:rPr>
              <w:t>Proteins</w:t>
            </w:r>
            <w:r>
              <w:rPr>
                <w:rFonts w:ascii="仿宋" w:hAnsi="仿宋" w:eastAsia="仿宋" w:cs="Arial"/>
                <w:sz w:val="22"/>
                <w:szCs w:val="22"/>
              </w:rPr>
              <w:br w:type="textWrapping"/>
            </w:r>
            <w:r>
              <w:rPr>
                <w:rFonts w:ascii="仿宋" w:hAnsi="仿宋" w:eastAsia="仿宋" w:cs="Arial"/>
                <w:sz w:val="22"/>
                <w:szCs w:val="22"/>
              </w:rPr>
              <w:t>Internal : &lt;250 ppm</w:t>
            </w:r>
            <w:r>
              <w:rPr>
                <w:rFonts w:ascii="仿宋" w:hAnsi="仿宋" w:eastAsia="仿宋" w:cs="Arial"/>
                <w:sz w:val="22"/>
                <w:szCs w:val="22"/>
              </w:rPr>
              <w:br w:type="textWrapping"/>
            </w:r>
            <w:r>
              <w:rPr>
                <w:rFonts w:ascii="仿宋" w:hAnsi="仿宋" w:eastAsia="仿宋" w:cs="Arial"/>
                <w:sz w:val="22"/>
                <w:szCs w:val="22"/>
              </w:rPr>
              <w:t>External : &lt;300 ppm</w:t>
            </w:r>
          </w:p>
        </w:tc>
      </w:tr>
      <w:tr>
        <w:tblPrEx>
          <w:tblCellMar>
            <w:top w:w="0" w:type="dxa"/>
            <w:left w:w="10" w:type="dxa"/>
            <w:bottom w:w="0" w:type="dxa"/>
            <w:right w:w="10" w:type="dxa"/>
          </w:tblCellMar>
        </w:tblPrEx>
        <w:trPr>
          <w:trHeight w:val="667"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灵敏度</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250 amol Glufib (SN &gt; 2:1)</w:t>
            </w:r>
            <w:r>
              <w:rPr>
                <w:rFonts w:ascii="仿宋" w:hAnsi="仿宋" w:eastAsia="仿宋" w:cs="Arial"/>
                <w:sz w:val="22"/>
                <w:szCs w:val="22"/>
              </w:rPr>
              <w:br w:type="textWrapping"/>
            </w:r>
            <w:r>
              <w:rPr>
                <w:rFonts w:ascii="仿宋" w:hAnsi="仿宋" w:eastAsia="仿宋" w:cs="Arial"/>
                <w:sz w:val="22"/>
                <w:szCs w:val="22"/>
              </w:rPr>
              <w:t xml:space="preserve">250 fmol BSA (SN &gt; 5:1) </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1 fmol Glufib</w:t>
            </w:r>
            <w:r>
              <w:rPr>
                <w:rFonts w:ascii="仿宋" w:hAnsi="仿宋" w:eastAsia="仿宋" w:cs="Arial"/>
                <w:sz w:val="22"/>
                <w:szCs w:val="22"/>
              </w:rPr>
              <w:br w:type="textWrapping"/>
            </w:r>
            <w:r>
              <w:rPr>
                <w:rFonts w:ascii="仿宋" w:hAnsi="仿宋" w:eastAsia="仿宋" w:cs="Arial"/>
                <w:sz w:val="22"/>
                <w:szCs w:val="22"/>
              </w:rPr>
              <w:t>500 fmol BSA</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1 fmol Glufib (SN &gt;10:1)</w:t>
            </w:r>
            <w:r>
              <w:rPr>
                <w:rFonts w:ascii="仿宋" w:hAnsi="仿宋" w:eastAsia="仿宋" w:cs="Arial"/>
                <w:sz w:val="22"/>
                <w:szCs w:val="22"/>
              </w:rPr>
              <w:br w:type="textWrapping"/>
            </w:r>
            <w:r>
              <w:rPr>
                <w:rFonts w:ascii="仿宋" w:hAnsi="仿宋" w:eastAsia="仿宋" w:cs="Arial"/>
                <w:sz w:val="22"/>
                <w:szCs w:val="22"/>
              </w:rPr>
              <w:t>50 fmol Lysozyme (SN &gt;10:1)</w:t>
            </w:r>
          </w:p>
        </w:tc>
      </w:tr>
      <w:tr>
        <w:tblPrEx>
          <w:tblCellMar>
            <w:top w:w="0" w:type="dxa"/>
            <w:left w:w="10" w:type="dxa"/>
            <w:bottom w:w="0" w:type="dxa"/>
            <w:right w:w="10" w:type="dxa"/>
          </w:tblCellMar>
        </w:tblPrEx>
        <w:trPr>
          <w:trHeight w:val="543"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激光器</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200 Hz SS</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60 Hz N</w:t>
            </w:r>
            <w:r>
              <w:rPr>
                <w:rFonts w:ascii="仿宋" w:hAnsi="仿宋" w:eastAsia="仿宋" w:cs="Arial"/>
                <w:sz w:val="22"/>
                <w:szCs w:val="22"/>
                <w:vertAlign w:val="subscript"/>
              </w:rPr>
              <w:t>2</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1 kHz SS</w:t>
            </w:r>
          </w:p>
        </w:tc>
      </w:tr>
      <w:tr>
        <w:tblPrEx>
          <w:tblCellMar>
            <w:top w:w="0" w:type="dxa"/>
            <w:left w:w="10" w:type="dxa"/>
            <w:bottom w:w="0" w:type="dxa"/>
            <w:right w:w="10" w:type="dxa"/>
          </w:tblCellMar>
        </w:tblPrEx>
        <w:trPr>
          <w:trHeight w:val="549"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激光寿命</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2 x 10^9 shots</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1 x 10^7 shots</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1 x 10^9 shots</w:t>
            </w:r>
          </w:p>
        </w:tc>
      </w:tr>
      <w:tr>
        <w:tblPrEx>
          <w:tblCellMar>
            <w:top w:w="0" w:type="dxa"/>
            <w:left w:w="10" w:type="dxa"/>
            <w:bottom w:w="0" w:type="dxa"/>
            <w:right w:w="10" w:type="dxa"/>
          </w:tblCellMar>
        </w:tblPrEx>
        <w:trPr>
          <w:trHeight w:val="667"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靶板类型</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1 x 48 FlexiMass-DS</w:t>
            </w:r>
            <w:r>
              <w:rPr>
                <w:rFonts w:ascii="仿宋" w:hAnsi="仿宋" w:eastAsia="仿宋" w:cs="Arial"/>
                <w:sz w:val="22"/>
                <w:szCs w:val="22"/>
              </w:rPr>
              <w:br w:type="textWrapping"/>
            </w:r>
            <w:r>
              <w:rPr>
                <w:rFonts w:ascii="仿宋" w:hAnsi="仿宋" w:eastAsia="仿宋" w:cs="Arial"/>
                <w:sz w:val="22"/>
                <w:szCs w:val="22"/>
              </w:rPr>
              <w:t>1 x 48 FlexiMass-SR</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48 &amp; 96 sample spots</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w:t>
            </w:r>
          </w:p>
        </w:tc>
      </w:tr>
      <w:tr>
        <w:tblPrEx>
          <w:tblCellMar>
            <w:top w:w="0" w:type="dxa"/>
            <w:left w:w="10" w:type="dxa"/>
            <w:bottom w:w="0" w:type="dxa"/>
            <w:right w:w="10" w:type="dxa"/>
          </w:tblCellMar>
        </w:tblPrEx>
        <w:trPr>
          <w:trHeight w:val="446"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噪音</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&lt; 55 dB</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&lt; 50 dB</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w:t>
            </w:r>
          </w:p>
        </w:tc>
      </w:tr>
      <w:tr>
        <w:tblPrEx>
          <w:tblCellMar>
            <w:top w:w="0" w:type="dxa"/>
            <w:left w:w="10" w:type="dxa"/>
            <w:bottom w:w="0" w:type="dxa"/>
            <w:right w:w="10" w:type="dxa"/>
          </w:tblCellMar>
        </w:tblPrEx>
        <w:trPr>
          <w:trHeight w:val="667"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泵系统</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Diaphragm pump + 1 x turbo</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Diaphragm pump + 1 x turbo</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w:t>
            </w:r>
          </w:p>
        </w:tc>
      </w:tr>
      <w:tr>
        <w:tblPrEx>
          <w:tblCellMar>
            <w:top w:w="0" w:type="dxa"/>
            <w:left w:w="10" w:type="dxa"/>
            <w:bottom w:w="0" w:type="dxa"/>
            <w:right w:w="10" w:type="dxa"/>
          </w:tblCellMar>
        </w:tblPrEx>
        <w:trPr>
          <w:trHeight w:val="499" w:hRule="atLeast"/>
          <w:jc w:val="center"/>
        </w:trPr>
        <w:tc>
          <w:tcPr>
            <w:tcW w:w="212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textAlignment w:val="auto"/>
              <w:rPr>
                <w:rFonts w:ascii="仿宋" w:hAnsi="仿宋" w:eastAsia="仿宋" w:cs="仿宋_GB2312"/>
                <w:sz w:val="22"/>
                <w:szCs w:val="22"/>
              </w:rPr>
            </w:pPr>
          </w:p>
        </w:tc>
        <w:tc>
          <w:tcPr>
            <w:tcW w:w="141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sz w:val="22"/>
                <w:szCs w:val="22"/>
              </w:rPr>
              <w:t>条码阅读器</w:t>
            </w:r>
          </w:p>
        </w:tc>
        <w:tc>
          <w:tcPr>
            <w:tcW w:w="21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yes</w:t>
            </w:r>
          </w:p>
        </w:tc>
        <w:tc>
          <w:tcPr>
            <w:tcW w:w="2235"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no</w:t>
            </w:r>
          </w:p>
        </w:tc>
        <w:tc>
          <w:tcPr>
            <w:tcW w:w="2235"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Arial"/>
                <w:sz w:val="22"/>
                <w:szCs w:val="22"/>
              </w:rPr>
              <w:t>no</w:t>
            </w:r>
          </w:p>
        </w:tc>
      </w:tr>
      <w:tr>
        <w:tblPrEx>
          <w:tblCellMar>
            <w:top w:w="0" w:type="dxa"/>
            <w:left w:w="10" w:type="dxa"/>
            <w:bottom w:w="0" w:type="dxa"/>
            <w:right w:w="10" w:type="dxa"/>
          </w:tblCellMar>
        </w:tblPrEx>
        <w:trPr>
          <w:trHeight w:val="545" w:hRule="atLeast"/>
          <w:jc w:val="center"/>
        </w:trPr>
        <w:tc>
          <w:tcPr>
            <w:tcW w:w="2122"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both"/>
              <w:textAlignment w:val="auto"/>
              <w:rPr>
                <w:rFonts w:ascii="仿宋" w:hAnsi="仿宋" w:eastAsia="仿宋" w:cs="仿宋_GB2312"/>
              </w:rPr>
            </w:pPr>
            <w:r>
              <w:rPr>
                <w:rFonts w:hint="eastAsia" w:ascii="仿宋" w:hAnsi="仿宋" w:eastAsia="仿宋" w:cs="仿宋_GB2312"/>
                <w:color w:val="000000"/>
              </w:rPr>
              <w:t>市场情况和价格比较</w:t>
            </w:r>
          </w:p>
        </w:tc>
        <w:tc>
          <w:tcPr>
            <w:tcW w:w="1417"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市场情况</w:t>
            </w:r>
          </w:p>
        </w:tc>
        <w:tc>
          <w:tcPr>
            <w:tcW w:w="2188" w:type="dxa"/>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研发机构使用较多</w:t>
            </w:r>
          </w:p>
        </w:tc>
        <w:tc>
          <w:tcPr>
            <w:tcW w:w="2235" w:type="dxa"/>
            <w:gridSpan w:val="2"/>
            <w:tcBorders>
              <w:top w:val="single" w:color="auto" w:sz="4" w:space="0"/>
              <w:lef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部分</w:t>
            </w:r>
            <w:r>
              <w:rPr>
                <w:rFonts w:hint="eastAsia" w:ascii="仿宋" w:hAnsi="仿宋" w:eastAsia="仿宋" w:cs="仿宋_GB2312"/>
                <w:color w:val="000000"/>
                <w:lang w:eastAsia="zh-CN"/>
              </w:rPr>
              <w:t>高校</w:t>
            </w:r>
            <w:r>
              <w:rPr>
                <w:rFonts w:hint="eastAsia" w:ascii="仿宋" w:hAnsi="仿宋" w:eastAsia="仿宋" w:cs="仿宋_GB2312"/>
                <w:color w:val="000000"/>
              </w:rPr>
              <w:t>使用</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使用单位很少</w:t>
            </w:r>
          </w:p>
        </w:tc>
      </w:tr>
      <w:tr>
        <w:tblPrEx>
          <w:tblCellMar>
            <w:top w:w="0" w:type="dxa"/>
            <w:left w:w="10" w:type="dxa"/>
            <w:bottom w:w="0" w:type="dxa"/>
            <w:right w:w="10" w:type="dxa"/>
          </w:tblCellMar>
        </w:tblPrEx>
        <w:trPr>
          <w:trHeight w:val="1138" w:hRule="exact"/>
          <w:jc w:val="center"/>
        </w:trPr>
        <w:tc>
          <w:tcPr>
            <w:tcW w:w="2122"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售后服务</w:t>
            </w:r>
          </w:p>
        </w:tc>
        <w:tc>
          <w:tcPr>
            <w:tcW w:w="1417"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color w:val="000000"/>
              </w:rPr>
            </w:pPr>
            <w:r>
              <w:rPr>
                <w:rFonts w:hint="eastAsia" w:ascii="仿宋" w:hAnsi="仿宋" w:eastAsia="仿宋" w:cs="仿宋_GB2312"/>
                <w:color w:val="000000"/>
              </w:rPr>
              <w:t>技术支持及</w:t>
            </w:r>
          </w:p>
          <w:p>
            <w:pPr>
              <w:pStyle w:val="11"/>
              <w:keepNext w:val="0"/>
              <w:keepLines w:val="0"/>
              <w:pageBreakBefore w:val="0"/>
              <w:widowControl w:val="0"/>
              <w:kinsoku/>
              <w:wordWrap/>
              <w:overflowPunct/>
              <w:topLinePunct w:val="0"/>
              <w:autoSpaceDE/>
              <w:autoSpaceDN/>
              <w:bidi w:val="0"/>
              <w:spacing w:after="0" w:line="260" w:lineRule="exact"/>
              <w:ind w:firstLine="0"/>
              <w:jc w:val="center"/>
              <w:textAlignment w:val="auto"/>
              <w:rPr>
                <w:rFonts w:ascii="仿宋" w:hAnsi="仿宋" w:eastAsia="仿宋" w:cs="仿宋_GB2312"/>
              </w:rPr>
            </w:pPr>
            <w:r>
              <w:rPr>
                <w:rFonts w:hint="eastAsia" w:ascii="仿宋" w:hAnsi="仿宋" w:eastAsia="仿宋" w:cs="仿宋_GB2312"/>
                <w:color w:val="000000"/>
              </w:rPr>
              <w:t>服务响应</w:t>
            </w:r>
          </w:p>
        </w:tc>
        <w:tc>
          <w:tcPr>
            <w:tcW w:w="21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宋体"/>
                <w:kern w:val="0"/>
                <w:sz w:val="22"/>
                <w:szCs w:val="22"/>
              </w:rPr>
              <w:t>厦门、福州均常驻工程师可以提供本地化服务</w:t>
            </w:r>
          </w:p>
        </w:tc>
        <w:tc>
          <w:tcPr>
            <w:tcW w:w="2235" w:type="dxa"/>
            <w:gridSpan w:val="2"/>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ascii="仿宋" w:hAnsi="仿宋" w:eastAsia="仿宋" w:cs="宋体"/>
                <w:kern w:val="0"/>
                <w:sz w:val="22"/>
                <w:szCs w:val="22"/>
              </w:rPr>
              <w:t>厦门、福州均常驻工程师可以提供本地化服务</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仿宋" w:hAnsi="仿宋" w:eastAsia="仿宋"/>
                <w:sz w:val="22"/>
                <w:szCs w:val="22"/>
              </w:rPr>
            </w:pPr>
            <w:r>
              <w:rPr>
                <w:rFonts w:hint="eastAsia" w:ascii="仿宋" w:hAnsi="仿宋" w:eastAsia="仿宋" w:cs="宋体"/>
                <w:kern w:val="0"/>
                <w:sz w:val="22"/>
                <w:szCs w:val="22"/>
              </w:rPr>
              <w:t>无本地化服务，需从上海支援，成本高，响应慢</w:t>
            </w:r>
          </w:p>
        </w:tc>
      </w:tr>
    </w:tbl>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四、条件准备情况</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实验室具备电（220V单相电源）、通风（排气系统）、实验平台（尺寸大于</w:t>
      </w:r>
      <w:r>
        <w:rPr>
          <w:rFonts w:ascii="仿宋" w:hAnsi="仿宋" w:eastAsia="仿宋" w:cs="仿宋_GB2312"/>
          <w:color w:val="000000"/>
          <w:sz w:val="32"/>
          <w:szCs w:val="32"/>
        </w:rPr>
        <w:t>120</w:t>
      </w:r>
      <w:r>
        <w:rPr>
          <w:rFonts w:hint="eastAsia" w:ascii="仿宋" w:hAnsi="仿宋" w:eastAsia="仿宋" w:cs="仿宋_GB2312"/>
          <w:color w:val="000000"/>
          <w:sz w:val="32"/>
          <w:szCs w:val="32"/>
        </w:rPr>
        <w:t xml:space="preserve"> x </w:t>
      </w:r>
      <w:r>
        <w:rPr>
          <w:rFonts w:ascii="仿宋" w:hAnsi="仿宋" w:eastAsia="仿宋" w:cs="仿宋_GB2312"/>
          <w:color w:val="000000"/>
          <w:sz w:val="32"/>
          <w:szCs w:val="32"/>
        </w:rPr>
        <w:t>70</w:t>
      </w:r>
      <w:r>
        <w:rPr>
          <w:rFonts w:hint="eastAsia" w:ascii="仿宋" w:hAnsi="仿宋" w:eastAsia="仿宋" w:cs="仿宋_GB2312"/>
          <w:color w:val="000000"/>
          <w:sz w:val="32"/>
          <w:szCs w:val="32"/>
        </w:rPr>
        <w:t xml:space="preserve"> cm, 可以承</w:t>
      </w:r>
      <w:r>
        <w:rPr>
          <w:rFonts w:ascii="仿宋" w:hAnsi="仿宋" w:eastAsia="仿宋" w:cs="仿宋_GB2312"/>
          <w:color w:val="000000"/>
          <w:sz w:val="32"/>
          <w:szCs w:val="32"/>
        </w:rPr>
        <w:t>100</w:t>
      </w:r>
      <w:r>
        <w:rPr>
          <w:rFonts w:hint="eastAsia" w:ascii="仿宋" w:hAnsi="仿宋" w:eastAsia="仿宋" w:cs="仿宋_GB2312"/>
          <w:color w:val="000000"/>
          <w:sz w:val="32"/>
          <w:szCs w:val="32"/>
        </w:rPr>
        <w:t>Kg以上的设备）等安装条件。</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五、可能存在的安全性问题</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该设备使用过程无放射物产生，可能产生少量废气可由通风净化系统处理，不会产生安全性问题。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Î¢ÈíÑÅºÚ Light Wester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2"/>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2"/>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6DE1"/>
    <w:rsid w:val="0004008B"/>
    <w:rsid w:val="00052A08"/>
    <w:rsid w:val="000728D9"/>
    <w:rsid w:val="002B1651"/>
    <w:rsid w:val="002E4269"/>
    <w:rsid w:val="00381E33"/>
    <w:rsid w:val="004E5283"/>
    <w:rsid w:val="00560D63"/>
    <w:rsid w:val="006510CD"/>
    <w:rsid w:val="00841167"/>
    <w:rsid w:val="0089603F"/>
    <w:rsid w:val="009376B1"/>
    <w:rsid w:val="009D1F08"/>
    <w:rsid w:val="009E4FB7"/>
    <w:rsid w:val="009F3181"/>
    <w:rsid w:val="00A60F7B"/>
    <w:rsid w:val="00B13420"/>
    <w:rsid w:val="00C13CB4"/>
    <w:rsid w:val="00C86402"/>
    <w:rsid w:val="00DC52D4"/>
    <w:rsid w:val="00DF4917"/>
    <w:rsid w:val="00EB7E60"/>
    <w:rsid w:val="00EE4578"/>
    <w:rsid w:val="01EA0E83"/>
    <w:rsid w:val="0301396B"/>
    <w:rsid w:val="05154E61"/>
    <w:rsid w:val="0ACD3951"/>
    <w:rsid w:val="0C2107A9"/>
    <w:rsid w:val="0CF462EF"/>
    <w:rsid w:val="0EF44734"/>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310E37"/>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7">
    <w:name w:val="page number"/>
    <w:basedOn w:val="6"/>
    <w:qFormat/>
    <w:uiPriority w:val="99"/>
    <w:rPr>
      <w:rFonts w:cs="Times New Roman"/>
    </w:rPr>
  </w:style>
  <w:style w:type="paragraph" w:styleId="8">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10">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2">
    <w:name w:val="Header or footer|2"/>
    <w:basedOn w:val="1"/>
    <w:qFormat/>
    <w:uiPriority w:val="0"/>
    <w:rPr>
      <w:sz w:val="20"/>
      <w:szCs w:val="20"/>
      <w:lang w:val="zh-TW" w:eastAsia="zh-TW" w:bidi="zh-TW"/>
    </w:rPr>
  </w:style>
  <w:style w:type="paragraph" w:customStyle="1" w:styleId="13">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4">
    <w:name w:val="页眉 字符"/>
    <w:basedOn w:val="6"/>
    <w:link w:val="3"/>
    <w:qFormat/>
    <w:uiPriority w:val="0"/>
    <w:rPr>
      <w:rFonts w:asciiTheme="minorHAnsi" w:hAnsiTheme="minorHAnsi" w:eastAsiaTheme="minorEastAsia" w:cstheme="minorBidi"/>
      <w:kern w:val="2"/>
      <w:sz w:val="18"/>
      <w:szCs w:val="18"/>
    </w:rPr>
  </w:style>
  <w:style w:type="character" w:customStyle="1" w:styleId="15">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1058</Words>
  <Characters>1609</Characters>
  <Lines>13</Lines>
  <Paragraphs>3</Paragraphs>
  <TotalTime>125</TotalTime>
  <ScaleCrop>false</ScaleCrop>
  <LinksUpToDate>false</LinksUpToDate>
  <CharactersWithSpaces>1744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2022-04-20T08:31:24Z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62737996527D4D749885DEC555C236FB</vt:lpwstr>
  </property>
</Properties>
</file>