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清源创新实验室化学吸附仪需求调研情况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测试中心拟购置化学吸附仪，利用吸附剂与被吸附物质之间产生的化学作用，生成化学键引起吸附；可进行脉冲化学吸附、程序升温还原（TPR）、程序升温脱附（TPD）、程序升温氧化（TPO）和程序升温反应等。清源创新实验室将承担大量科研和研究生培养工作，但目前没有化学吸附仪，无法开展相关的研究工作。鉴于上述情况，测试中心经过多轮讨论，一致认为，化学吸附仪是清源创新实验室目前需求迫切、能发挥较大效益的分析仪器。所以清源创新实验室测试中心申请购置一台主要服务于清源创新实验室、以测试为主、性能指标能够满足常规科研和教学需要、精确度高、性能稳定可靠的化学吸附仪。</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化学吸附仪是利用吸附剂与被吸附物质之间产生的化学作用，生成化学键引起吸附；可进行脉冲化学吸附、程序升温还原（TPR）、程序升温脱附（TPD）、程序升温氧化（TPO）和程序升温反应等。化学吸附仪主要运用在催化剂预处理、等温反应以及催化剂的表征等领域。因此该设备可为本单位各研究方向使用，特别是异构化、加氢裂化、加氢脱硫脱氮、催化裂化、氨催化、燃料电池、催化重整等相关领域的检测使用。该设备的引入，有利于促进清源创新实验室在催化裂化领域的研发工作，提升科研分析方面的水平，提高研究生的综合知识和创新能力。</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三、国内外同类项目所用的仪器设备及优缺点对比</w:t>
      </w:r>
    </w:p>
    <w:p>
      <w:pPr>
        <w:snapToGrid w:val="0"/>
        <w:spacing w:line="540" w:lineRule="exact"/>
        <w:ind w:firstLine="643" w:firstLineChars="200"/>
        <w:jc w:val="left"/>
        <w:rPr>
          <w:rFonts w:ascii="仿宋_GB2312" w:hAnsi="仿宋_GB2312" w:eastAsia="仿宋_GB2312" w:cs="仿宋_GB2312"/>
          <w:b/>
          <w:color w:val="000000"/>
          <w:sz w:val="32"/>
          <w:szCs w:val="32"/>
          <w:lang w:val="en-GB"/>
        </w:rPr>
      </w:pPr>
    </w:p>
    <w:tbl>
      <w:tblPr>
        <w:tblStyle w:val="5"/>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722"/>
        <w:gridCol w:w="2714"/>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仪器品牌</w:t>
            </w:r>
          </w:p>
        </w:tc>
        <w:tc>
          <w:tcPr>
            <w:tcW w:w="2722"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Micromeritics</w:t>
            </w:r>
          </w:p>
        </w:tc>
        <w:tc>
          <w:tcPr>
            <w:tcW w:w="271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Altamira Instruments</w:t>
            </w:r>
          </w:p>
        </w:tc>
        <w:tc>
          <w:tcPr>
            <w:tcW w:w="271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hint="eastAsia" w:ascii="宋体" w:hAnsi="宋体" w:eastAsia="宋体" w:cs="宋体"/>
                <w:color w:val="000000"/>
                <w:kern w:val="0"/>
                <w:sz w:val="22"/>
                <w:szCs w:val="22"/>
                <w:lang w:bidi="ar"/>
              </w:rPr>
              <w:t>理化联科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仪器型号</w:t>
            </w:r>
          </w:p>
        </w:tc>
        <w:tc>
          <w:tcPr>
            <w:tcW w:w="2722"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AutoChem II 2920</w:t>
            </w:r>
          </w:p>
        </w:tc>
        <w:tc>
          <w:tcPr>
            <w:tcW w:w="271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AMI-300 S PLUS</w:t>
            </w:r>
          </w:p>
        </w:tc>
        <w:tc>
          <w:tcPr>
            <w:tcW w:w="271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iChem700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样品装填量</w:t>
            </w:r>
          </w:p>
        </w:tc>
        <w:tc>
          <w:tcPr>
            <w:tcW w:w="2722"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等线" w:cs="Times New Roman"/>
                <w:color w:val="000000"/>
                <w:kern w:val="0"/>
                <w:sz w:val="22"/>
                <w:szCs w:val="22"/>
                <w:lang w:bidi="ar"/>
              </w:rPr>
            </w:pPr>
            <w:r>
              <w:rPr>
                <w:rFonts w:ascii="Times New Roman" w:hAnsi="Times New Roman" w:eastAsia="等线" w:cs="Times New Roman"/>
                <w:color w:val="000000"/>
                <w:kern w:val="0"/>
                <w:sz w:val="22"/>
                <w:szCs w:val="22"/>
                <w:lang w:bidi="ar"/>
              </w:rPr>
              <w:t>0.02-2g</w:t>
            </w:r>
          </w:p>
        </w:tc>
        <w:tc>
          <w:tcPr>
            <w:tcW w:w="271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等线" w:cs="Times New Roman"/>
                <w:color w:val="000000"/>
                <w:kern w:val="0"/>
                <w:sz w:val="22"/>
                <w:szCs w:val="22"/>
                <w:lang w:bidi="ar"/>
              </w:rPr>
            </w:pPr>
            <w:r>
              <w:rPr>
                <w:rFonts w:ascii="Times New Roman" w:hAnsi="Times New Roman" w:eastAsia="等线" w:cs="Times New Roman"/>
                <w:color w:val="000000"/>
                <w:kern w:val="0"/>
                <w:sz w:val="22"/>
                <w:szCs w:val="22"/>
                <w:lang w:bidi="ar"/>
              </w:rPr>
              <w:t>0.02-1g</w:t>
            </w:r>
          </w:p>
        </w:tc>
        <w:tc>
          <w:tcPr>
            <w:tcW w:w="2714"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ascii="Times New Roman" w:hAnsi="Times New Roman" w:eastAsia="等线" w:cs="Times New Roman"/>
                <w:color w:val="000000"/>
                <w:kern w:val="0"/>
                <w:sz w:val="22"/>
                <w:szCs w:val="22"/>
                <w:lang w:bidi="ar"/>
              </w:rPr>
            </w:pPr>
            <w:r>
              <w:rPr>
                <w:rFonts w:ascii="Times New Roman" w:hAnsi="Times New Roman" w:eastAsia="等线" w:cs="Times New Roman"/>
                <w:color w:val="000000"/>
                <w:kern w:val="0"/>
                <w:sz w:val="22"/>
                <w:szCs w:val="22"/>
                <w:lang w:bidi="ar"/>
              </w:rPr>
              <w:t>0.1-1g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温度范围</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室温-1100℃，精度1℃，具备3个升温速率区段：120-500℃，≤50℃/min；            500-750℃，≤30℃/min；          750-1100℃，≤10℃/min</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RT-1200℃，精度0.1℃，具备3个升温速率区段： 常温-500℃，≤50℃/min；        500-1200℃，≤30℃/min；</w:t>
            </w:r>
            <w:r>
              <w:rPr>
                <w:rFonts w:hint="eastAsia" w:ascii="Times New Roman" w:hAnsi="Times New Roman" w:eastAsia="仿宋_GB2312" w:cs="Times New Roman"/>
                <w:color w:val="000000"/>
                <w:sz w:val="24"/>
              </w:rPr>
              <w:br w:type="textWrapping"/>
            </w:r>
            <w:r>
              <w:rPr>
                <w:rFonts w:hint="eastAsia" w:ascii="Times New Roman" w:hAnsi="Times New Roman" w:eastAsia="仿宋_GB2312" w:cs="Times New Roman"/>
                <w:color w:val="000000"/>
                <w:sz w:val="24"/>
              </w:rPr>
              <w:t>（-120-常温℃，≤30℃/min选配）</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RT-1200°C，精度1℃，具备3个升温速率区段：常温-800℃，≤50℃/min；            800-1000℃，≤30℃/min；          1000-1200℃，≤10℃/min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TCD</w:t>
            </w:r>
            <w:r>
              <w:rPr>
                <w:rFonts w:hint="eastAsia" w:ascii="Times New Roman" w:hAnsi="Times New Roman" w:eastAsia="仿宋_GB2312" w:cs="Times New Roman"/>
                <w:b/>
                <w:bCs/>
                <w:color w:val="000000"/>
                <w:sz w:val="24"/>
              </w:rPr>
              <w:t>检测器</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并联灯丝热导检测器</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并联灯丝热导检测器</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并联灯丝热导检测器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质量流量计</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4个高精度Brooks质量流量计，可以在自动控制和手动控制之间任意切换，流量精度0.01mL/min</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4个高精度Hastings MFC，流量精度0.01mL/min</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6个高精度日本Horiba的MFC，流量精度0.01mL/min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气体流速</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自动控制流量范围10-75mL/min，手动控制流量范围为0-100mL/min</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5-50mL/min</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5-50mL/min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气体</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12路气气体接口，4路载气，4路反应气，4路Loop气，典型的有H</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，O</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，CO，SO</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，NH</w:t>
            </w:r>
            <w:r>
              <w:rPr>
                <w:rFonts w:hint="eastAsia" w:ascii="Times New Roman" w:hAnsi="Times New Roman" w:eastAsia="仿宋_GB2312" w:cs="Times New Roman"/>
                <w:color w:val="000000"/>
                <w:sz w:val="24"/>
                <w:vertAlign w:val="subscript"/>
              </w:rPr>
              <w:t>3</w:t>
            </w:r>
            <w:r>
              <w:rPr>
                <w:rFonts w:hint="eastAsia" w:ascii="Times New Roman" w:hAnsi="Times New Roman" w:eastAsia="仿宋_GB2312" w:cs="Times New Roman"/>
                <w:color w:val="000000"/>
                <w:sz w:val="24"/>
              </w:rPr>
              <w:t>等，H</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S和SO</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浓度不超过10%</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11路气体接口，4路反应气、4路载气和2路混Loop气，化学吸附气体：典型的有H</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，O</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，CO，SO</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，NH</w:t>
            </w:r>
            <w:r>
              <w:rPr>
                <w:rFonts w:hint="eastAsia" w:ascii="Times New Roman" w:hAnsi="Times New Roman" w:eastAsia="仿宋_GB2312" w:cs="Times New Roman"/>
                <w:color w:val="000000"/>
                <w:sz w:val="24"/>
                <w:vertAlign w:val="subscript"/>
              </w:rPr>
              <w:t>3</w:t>
            </w:r>
            <w:r>
              <w:rPr>
                <w:rFonts w:hint="eastAsia" w:ascii="Times New Roman" w:hAnsi="Times New Roman" w:eastAsia="仿宋_GB2312" w:cs="Times New Roman"/>
                <w:color w:val="000000"/>
                <w:sz w:val="24"/>
              </w:rPr>
              <w:t>等，H</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S不超过15%</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15路气体：5 路载气，5路处理气，5路Loop气，化学吸附气体：典型的有H</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，O</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，CO，SO</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，NH</w:t>
            </w:r>
            <w:r>
              <w:rPr>
                <w:rFonts w:hint="eastAsia" w:ascii="Times New Roman" w:hAnsi="Times New Roman" w:eastAsia="仿宋_GB2312" w:cs="Times New Roman"/>
                <w:color w:val="000000"/>
                <w:sz w:val="24"/>
                <w:vertAlign w:val="subscript"/>
              </w:rPr>
              <w:t>3</w:t>
            </w:r>
            <w:r>
              <w:rPr>
                <w:rFonts w:hint="eastAsia" w:ascii="Times New Roman" w:hAnsi="Times New Roman" w:eastAsia="仿宋_GB2312" w:cs="Times New Roman"/>
                <w:color w:val="000000"/>
                <w:sz w:val="24"/>
              </w:rPr>
              <w:t>等，H</w:t>
            </w:r>
            <w:r>
              <w:rPr>
                <w:rFonts w:hint="eastAsia" w:ascii="Times New Roman" w:hAnsi="Times New Roman" w:eastAsia="仿宋_GB2312" w:cs="Times New Roman"/>
                <w:color w:val="000000"/>
                <w:sz w:val="24"/>
                <w:vertAlign w:val="subscript"/>
              </w:rPr>
              <w:t>2</w:t>
            </w:r>
            <w:r>
              <w:rPr>
                <w:rFonts w:hint="eastAsia" w:ascii="Times New Roman" w:hAnsi="Times New Roman" w:eastAsia="仿宋_GB2312" w:cs="Times New Roman"/>
                <w:color w:val="000000"/>
                <w:sz w:val="24"/>
              </w:rPr>
              <w:t>S浓度不超过5%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Loop</w:t>
            </w:r>
            <w:r>
              <w:rPr>
                <w:rFonts w:hint="eastAsia" w:ascii="Times New Roman" w:hAnsi="Times New Roman" w:eastAsia="仿宋_GB2312" w:cs="Times New Roman"/>
                <w:b/>
                <w:bCs/>
                <w:color w:val="000000"/>
                <w:sz w:val="24"/>
              </w:rPr>
              <w:t>定量环</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0.5mL，1mL，5mL三种固定体积，内置校准程序，可以任意截取体积并由仪器进行自动校准</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13种定量环</w:t>
            </w:r>
            <w:r>
              <w:rPr>
                <w:rFonts w:hint="eastAsia" w:ascii="Times New Roman" w:hAnsi="Times New Roman" w:eastAsia="仿宋_GB2312" w:cs="Times New Roman"/>
                <w:color w:val="000000"/>
                <w:sz w:val="24"/>
              </w:rPr>
              <w:br w:type="textWrapping"/>
            </w:r>
            <w:r>
              <w:rPr>
                <w:rFonts w:hint="eastAsia" w:ascii="Times New Roman" w:hAnsi="Times New Roman" w:eastAsia="仿宋_GB2312" w:cs="Times New Roman"/>
                <w:color w:val="000000"/>
                <w:sz w:val="24"/>
              </w:rPr>
              <w:t>微升级：5, 10, 15, 20, 23, 50, 100, 250, 500uL</w:t>
            </w:r>
            <w:r>
              <w:rPr>
                <w:rFonts w:hint="eastAsia" w:ascii="Times New Roman" w:hAnsi="Times New Roman" w:eastAsia="仿宋_GB2312" w:cs="Times New Roman"/>
                <w:color w:val="000000"/>
                <w:sz w:val="24"/>
              </w:rPr>
              <w:br w:type="textWrapping"/>
            </w:r>
            <w:r>
              <w:rPr>
                <w:rFonts w:hint="eastAsia" w:ascii="Times New Roman" w:hAnsi="Times New Roman" w:eastAsia="仿宋_GB2312" w:cs="Times New Roman"/>
                <w:color w:val="000000"/>
                <w:sz w:val="24"/>
              </w:rPr>
              <w:t>毫升级：1, 2, 5, 10mL</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14种定量环</w:t>
            </w:r>
            <w:r>
              <w:rPr>
                <w:rFonts w:hint="eastAsia" w:ascii="Times New Roman" w:hAnsi="Times New Roman" w:eastAsia="仿宋_GB2312" w:cs="Times New Roman"/>
                <w:color w:val="000000"/>
                <w:sz w:val="24"/>
              </w:rPr>
              <w:br w:type="textWrapping"/>
            </w:r>
            <w:r>
              <w:rPr>
                <w:rFonts w:hint="eastAsia" w:ascii="Times New Roman" w:hAnsi="Times New Roman" w:eastAsia="仿宋_GB2312" w:cs="Times New Roman"/>
                <w:color w:val="000000"/>
                <w:sz w:val="24"/>
              </w:rPr>
              <w:t>微升级：5, 10, 15, 20, 23, 50, 100, 250, 500， 750uL</w:t>
            </w:r>
            <w:r>
              <w:rPr>
                <w:rFonts w:hint="eastAsia" w:ascii="Times New Roman" w:hAnsi="Times New Roman" w:eastAsia="仿宋_GB2312" w:cs="Times New Roman"/>
                <w:color w:val="000000"/>
                <w:sz w:val="24"/>
              </w:rPr>
              <w:br w:type="textWrapping"/>
            </w:r>
            <w:r>
              <w:rPr>
                <w:rFonts w:hint="eastAsia" w:ascii="Times New Roman" w:hAnsi="Times New Roman" w:eastAsia="仿宋_GB2312" w:cs="Times New Roman"/>
                <w:color w:val="000000"/>
                <w:sz w:val="24"/>
              </w:rPr>
              <w:t>毫升级：1, 2, 5, 10mL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样品管</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一侧胖度的样品管</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石英U型管</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石英U形管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特殊配置</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配置蒸汽发生器，最高温度70℃</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配置蒸汽发生器，最高温度200℃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rPr>
              <w:t>选配装置</w:t>
            </w:r>
          </w:p>
        </w:tc>
        <w:tc>
          <w:tcPr>
            <w:tcW w:w="2722"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蒸汽吸附装置、CryoCooler（-100℃-1100℃连续）、Kwicool快速降温装置</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低温选件，最低温度到-130℃</w:t>
            </w:r>
          </w:p>
        </w:tc>
        <w:tc>
          <w:tcPr>
            <w:tcW w:w="2714"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sz w:val="24"/>
              </w:rPr>
              <w:t>—</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bookmarkStart w:id="0" w:name="_GoBack"/>
      <w:bookmarkEnd w:id="0"/>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该设备使用过程无放射物产生，可能产生少量废料可由废料收集系统处理，不会产生安全性问题。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1"/>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1"/>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81E33"/>
    <w:rsid w:val="004E5283"/>
    <w:rsid w:val="0059767E"/>
    <w:rsid w:val="006413E4"/>
    <w:rsid w:val="006B3B44"/>
    <w:rsid w:val="006F7AFC"/>
    <w:rsid w:val="00AF2930"/>
    <w:rsid w:val="00C90D8C"/>
    <w:rsid w:val="00E87D10"/>
    <w:rsid w:val="00EB7E60"/>
    <w:rsid w:val="01EA0E83"/>
    <w:rsid w:val="0301396B"/>
    <w:rsid w:val="05154E61"/>
    <w:rsid w:val="07663E1C"/>
    <w:rsid w:val="0ACD3951"/>
    <w:rsid w:val="0C2107A9"/>
    <w:rsid w:val="0CF462EF"/>
    <w:rsid w:val="108F4BD1"/>
    <w:rsid w:val="11C95F9C"/>
    <w:rsid w:val="1209283C"/>
    <w:rsid w:val="1223727C"/>
    <w:rsid w:val="130628D8"/>
    <w:rsid w:val="14C94C7D"/>
    <w:rsid w:val="1E592455"/>
    <w:rsid w:val="1FBB33A3"/>
    <w:rsid w:val="221F667B"/>
    <w:rsid w:val="23201794"/>
    <w:rsid w:val="23B1063E"/>
    <w:rsid w:val="240E07A9"/>
    <w:rsid w:val="251D242F"/>
    <w:rsid w:val="257B5FDE"/>
    <w:rsid w:val="25C44658"/>
    <w:rsid w:val="279A1B15"/>
    <w:rsid w:val="29D46E34"/>
    <w:rsid w:val="2A67212D"/>
    <w:rsid w:val="2B2160A9"/>
    <w:rsid w:val="2B724B56"/>
    <w:rsid w:val="2C5509C3"/>
    <w:rsid w:val="2E6863BB"/>
    <w:rsid w:val="2E7F7CB6"/>
    <w:rsid w:val="304F04EB"/>
    <w:rsid w:val="30C84A8F"/>
    <w:rsid w:val="31041D87"/>
    <w:rsid w:val="33F9446E"/>
    <w:rsid w:val="3522139B"/>
    <w:rsid w:val="35BA60CE"/>
    <w:rsid w:val="39C33C94"/>
    <w:rsid w:val="3D0535B4"/>
    <w:rsid w:val="40C33A32"/>
    <w:rsid w:val="47947ED7"/>
    <w:rsid w:val="483E65AE"/>
    <w:rsid w:val="4BFE6267"/>
    <w:rsid w:val="4C2A6435"/>
    <w:rsid w:val="516B5928"/>
    <w:rsid w:val="52F47DD4"/>
    <w:rsid w:val="52F67C97"/>
    <w:rsid w:val="536D782E"/>
    <w:rsid w:val="55591C47"/>
    <w:rsid w:val="564927D4"/>
    <w:rsid w:val="57D85FAF"/>
    <w:rsid w:val="5F131BD1"/>
    <w:rsid w:val="64837655"/>
    <w:rsid w:val="709541F4"/>
    <w:rsid w:val="70FF1E55"/>
    <w:rsid w:val="74543DB5"/>
    <w:rsid w:val="75613323"/>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 w:type="character" w:customStyle="1" w:styleId="15">
    <w:name w:val="font71"/>
    <w:basedOn w:val="6"/>
    <w:qFormat/>
    <w:uiPriority w:val="0"/>
    <w:rPr>
      <w:rFonts w:hint="eastAsia" w:ascii="宋体" w:hAnsi="宋体" w:eastAsia="宋体" w:cs="宋体"/>
      <w:color w:val="000000"/>
      <w:sz w:val="22"/>
      <w:szCs w:val="22"/>
      <w:u w:val="none"/>
    </w:rPr>
  </w:style>
  <w:style w:type="character" w:customStyle="1" w:styleId="16">
    <w:name w:val="font51"/>
    <w:basedOn w:val="6"/>
    <w:qFormat/>
    <w:uiPriority w:val="0"/>
    <w:rPr>
      <w:rFonts w:hint="default" w:ascii="Times New Roman" w:hAnsi="Times New Roman" w:cs="Times New Roman"/>
      <w:color w:val="000000"/>
      <w:sz w:val="22"/>
      <w:szCs w:val="22"/>
      <w:u w:val="none"/>
    </w:rPr>
  </w:style>
  <w:style w:type="character" w:customStyle="1" w:styleId="17">
    <w:name w:val="font61"/>
    <w:basedOn w:val="6"/>
    <w:qFormat/>
    <w:uiPriority w:val="0"/>
    <w:rPr>
      <w:rFonts w:hint="default" w:ascii="Times New Roman" w:hAnsi="Times New Roman" w:cs="Times New Roman"/>
      <w:color w:val="000000"/>
      <w:sz w:val="22"/>
      <w:szCs w:val="22"/>
      <w:u w:val="none"/>
    </w:rPr>
  </w:style>
  <w:style w:type="character" w:customStyle="1" w:styleId="18">
    <w:name w:val="font91"/>
    <w:basedOn w:val="6"/>
    <w:qFormat/>
    <w:uiPriority w:val="0"/>
    <w:rPr>
      <w:rFonts w:hint="eastAsia" w:ascii="宋体" w:hAnsi="宋体" w:eastAsia="宋体" w:cs="宋体"/>
      <w:b/>
      <w:bCs/>
      <w:color w:val="000000"/>
      <w:sz w:val="22"/>
      <w:szCs w:val="22"/>
      <w:u w:val="none"/>
    </w:rPr>
  </w:style>
  <w:style w:type="character" w:customStyle="1" w:styleId="19">
    <w:name w:val="font81"/>
    <w:basedOn w:val="6"/>
    <w:qFormat/>
    <w:uiPriority w:val="0"/>
    <w:rPr>
      <w:rFonts w:hint="eastAsia" w:ascii="宋体" w:hAnsi="宋体" w:eastAsia="宋体" w:cs="宋体"/>
      <w:color w:val="000000"/>
      <w:sz w:val="22"/>
      <w:szCs w:val="22"/>
      <w:u w:val="none"/>
    </w:rPr>
  </w:style>
  <w:style w:type="character" w:customStyle="1" w:styleId="20">
    <w:name w:val="font101"/>
    <w:basedOn w:val="6"/>
    <w:qFormat/>
    <w:uiPriority w:val="0"/>
    <w:rPr>
      <w:rFonts w:hint="eastAsia" w:ascii="宋体" w:hAnsi="宋体" w:eastAsia="宋体" w:cs="宋体"/>
      <w:color w:val="auto"/>
      <w:sz w:val="22"/>
      <w:szCs w:val="22"/>
      <w:u w:val="none"/>
    </w:rPr>
  </w:style>
  <w:style w:type="character" w:customStyle="1" w:styleId="21">
    <w:name w:val="font121"/>
    <w:basedOn w:val="6"/>
    <w:qFormat/>
    <w:uiPriority w:val="0"/>
    <w:rPr>
      <w:rFonts w:hint="default" w:ascii="Times New Roman" w:hAnsi="Times New Roman" w:cs="Times New Roman"/>
      <w:color w:val="auto"/>
      <w:sz w:val="22"/>
      <w:szCs w:val="22"/>
      <w:u w:val="none"/>
    </w:rPr>
  </w:style>
  <w:style w:type="character" w:customStyle="1" w:styleId="22">
    <w:name w:val="font131"/>
    <w:basedOn w:val="6"/>
    <w:qFormat/>
    <w:uiPriority w:val="0"/>
    <w:rPr>
      <w:rFonts w:hint="default" w:ascii="Times New Roman" w:hAnsi="Times New Roman" w:cs="Times New Roman"/>
      <w:b/>
      <w:bCs/>
      <w:color w:val="0000FF"/>
      <w:sz w:val="22"/>
      <w:szCs w:val="22"/>
      <w:u w:val="none"/>
    </w:rPr>
  </w:style>
  <w:style w:type="character" w:customStyle="1" w:styleId="23">
    <w:name w:val="font141"/>
    <w:basedOn w:val="6"/>
    <w:qFormat/>
    <w:uiPriority w:val="0"/>
    <w:rPr>
      <w:rFonts w:hint="default" w:ascii="Times New Roman" w:hAnsi="Times New Roman" w:cs="Times New Roman"/>
      <w:b/>
      <w:bCs/>
      <w:color w:val="0000FF"/>
      <w:sz w:val="22"/>
      <w:szCs w:val="22"/>
      <w:u w:val="none"/>
    </w:rPr>
  </w:style>
  <w:style w:type="character" w:customStyle="1" w:styleId="24">
    <w:name w:val="font111"/>
    <w:basedOn w:val="6"/>
    <w:qFormat/>
    <w:uiPriority w:val="0"/>
    <w:rPr>
      <w:rFonts w:hint="eastAsia" w:ascii="宋体" w:hAnsi="宋体" w:eastAsia="宋体" w:cs="宋体"/>
      <w:b/>
      <w:bCs/>
      <w:color w:val="0000FF"/>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1340</Words>
  <Characters>1764</Characters>
  <Lines>13</Lines>
  <Paragraphs>3</Paragraphs>
  <TotalTime>3</TotalTime>
  <ScaleCrop>false</ScaleCrop>
  <LinksUpToDate>false</LinksUpToDate>
  <CharactersWithSpaces>1847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2022-04-20T08:21:18Z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2F5AD52C3AA747A8808FC46DCD88CD6B</vt:lpwstr>
  </property>
</Properties>
</file>