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color w:val="000000"/>
          <w:sz w:val="36"/>
          <w:szCs w:val="36"/>
        </w:rPr>
      </w:pPr>
      <w:r>
        <w:rPr>
          <w:rFonts w:hint="eastAsia" w:ascii="方正小标宋简体" w:hAnsi="方正小标宋简体" w:eastAsia="方正小标宋简体" w:cs="方正小标宋简体"/>
          <w:b/>
          <w:bCs/>
          <w:color w:val="000000"/>
          <w:sz w:val="36"/>
          <w:szCs w:val="36"/>
        </w:rPr>
        <w:t>清源创新实验室高温凝胶渗透色谱仪需求调研情况</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一、仪器设备使用的项目</w:t>
      </w:r>
    </w:p>
    <w:p>
      <w:pPr>
        <w:snapToGrid w:val="0"/>
        <w:spacing w:line="540" w:lineRule="exact"/>
        <w:ind w:firstLine="632" w:firstLineChars="200"/>
        <w:jc w:val="left"/>
        <w:rPr>
          <w:rFonts w:hint="eastAsia" w:ascii="仿宋_GB2312" w:hAnsi="仿宋_GB2312" w:eastAsia="仿宋_GB2312" w:cs="仿宋_GB2312"/>
          <w:color w:val="000000"/>
          <w:w w:val="99"/>
          <w:sz w:val="32"/>
          <w:szCs w:val="32"/>
        </w:rPr>
      </w:pPr>
      <w:r>
        <w:rPr>
          <w:rFonts w:hint="eastAsia" w:ascii="仿宋_GB2312" w:hAnsi="仿宋_GB2312" w:eastAsia="仿宋_GB2312" w:cs="仿宋_GB2312"/>
          <w:color w:val="000000"/>
          <w:w w:val="99"/>
          <w:sz w:val="32"/>
          <w:szCs w:val="32"/>
        </w:rPr>
        <w:t>中国福建化学工程科学与技术创新实验室(清源创新实验室)测试中心拟购置高温凝胶渗透色谱仪，用于快速测定高分子材料（含能材料、树脂、塑料、光电材料、工程塑料、复合高分子材料等）的分子量及其分布、研究高聚物的黏度、支化度、均方旋转半径、共聚物的组成、聚合机理与监测聚合过程。清源创新实验室将承担大量科研和研究生培养工作，目前清源创新实验室中试基地已采购一台高温凝胶渗透色谱仪，但是测试中心无该类产品，该仪器的购置可以极大的推进实验室在催化领域的测试表征需求。鉴于上述情况，测试中心经过多轮讨论，一致认为，高温凝胶渗透色谱仪是清源创新实验室目前需求迫切、能发挥较大效益的分析仪器。所以清源创新实验室测试中心申请购置一台主要服务于清源创新实验室、以测试为主、性能指标能够满足常规科研和教学需要、精确度高、性能稳定可靠的高温凝胶渗透色谱仪。</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二、在该项目中所承担的任务</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高温凝胶渗透色谱仪是针对聚烯烃研究而研发的一款全自动化分子量及其分布测定的高温GPC仪器，该仪器在测定聚烯烃分子量及其分布的同时，还能够直接支化度、回转半径的信息。高温凝胶渗透色谱仪具有独特的整体控温功能，能快速、高效、准确分析水溶性高分子、有机高分子和糖类聚合物的分子量及分子量分布，研究聚合物的支化度、共聚物的组成、聚合机理与监测聚合过程。因此该设备可为本单位各研究方向使用，特别是石油化工下游</w:t>
      </w:r>
      <w:r>
        <w:rPr>
          <w:rFonts w:hint="eastAsia" w:ascii="仿宋_GB2312" w:hAnsi="仿宋_GB2312" w:eastAsia="仿宋_GB2312" w:cs="仿宋_GB2312"/>
          <w:color w:val="000000"/>
          <w:sz w:val="32"/>
          <w:szCs w:val="32"/>
          <w:lang w:val="en-US" w:eastAsia="zh-CN"/>
        </w:rPr>
        <w:t>的橡胶、塑料、纤维</w:t>
      </w:r>
      <w:r>
        <w:rPr>
          <w:rFonts w:hint="eastAsia" w:ascii="仿宋_GB2312" w:hAnsi="仿宋_GB2312" w:eastAsia="仿宋_GB2312" w:cs="仿宋_GB2312"/>
          <w:color w:val="000000"/>
          <w:sz w:val="32"/>
          <w:szCs w:val="32"/>
        </w:rPr>
        <w:t>等</w:t>
      </w:r>
      <w:r>
        <w:rPr>
          <w:rFonts w:hint="eastAsia" w:ascii="仿宋_GB2312" w:hAnsi="仿宋_GB2312" w:eastAsia="仿宋_GB2312" w:cs="仿宋_GB2312"/>
          <w:color w:val="000000"/>
          <w:sz w:val="32"/>
          <w:szCs w:val="32"/>
          <w:lang w:val="en-US" w:eastAsia="zh-CN"/>
        </w:rPr>
        <w:t>方面</w:t>
      </w:r>
      <w:r>
        <w:rPr>
          <w:rFonts w:hint="eastAsia" w:ascii="仿宋_GB2312" w:hAnsi="仿宋_GB2312" w:eastAsia="仿宋_GB2312" w:cs="仿宋_GB2312"/>
          <w:color w:val="000000"/>
          <w:sz w:val="32"/>
          <w:szCs w:val="32"/>
        </w:rPr>
        <w:t>。该设备的引入，有利于促进清源创新实验室在</w:t>
      </w:r>
      <w:r>
        <w:rPr>
          <w:rFonts w:hint="eastAsia" w:ascii="仿宋_GB2312" w:hAnsi="仿宋_GB2312" w:eastAsia="仿宋_GB2312" w:cs="仿宋_GB2312"/>
          <w:color w:val="000000"/>
          <w:sz w:val="32"/>
          <w:szCs w:val="32"/>
          <w:lang w:val="en-US" w:eastAsia="zh-CN"/>
        </w:rPr>
        <w:t>石油化工</w:t>
      </w:r>
      <w:r>
        <w:rPr>
          <w:rFonts w:hint="eastAsia" w:ascii="仿宋_GB2312" w:hAnsi="仿宋_GB2312" w:eastAsia="仿宋_GB2312" w:cs="仿宋_GB2312"/>
          <w:color w:val="000000"/>
          <w:sz w:val="32"/>
          <w:szCs w:val="32"/>
        </w:rPr>
        <w:t>领域的研发工作，提升科研分析方面的水平，提高研究生的综合知识和创新能力。</w:t>
      </w:r>
    </w:p>
    <w:p>
      <w:pPr>
        <w:snapToGrid w:val="0"/>
        <w:spacing w:line="540" w:lineRule="exact"/>
        <w:ind w:firstLine="640" w:firstLineChars="200"/>
        <w:jc w:val="left"/>
        <w:rPr>
          <w:rFonts w:ascii="仿宋_GB2312" w:hAnsi="仿宋_GB2312" w:eastAsia="仿宋_GB2312" w:cs="仿宋_GB2312"/>
          <w:b/>
          <w:color w:val="000000"/>
          <w:sz w:val="32"/>
          <w:szCs w:val="32"/>
          <w:lang w:val="en-GB"/>
        </w:rPr>
      </w:pPr>
      <w:r>
        <w:rPr>
          <w:rFonts w:hint="eastAsia" w:ascii="仿宋_GB2312" w:hAnsi="仿宋_GB2312" w:eastAsia="仿宋_GB2312" w:cs="仿宋_GB2312"/>
          <w:color w:val="000000"/>
          <w:sz w:val="32"/>
          <w:szCs w:val="32"/>
        </w:rPr>
        <w:t>三、国内外同类项目所用的仪器设备及优缺点对比</w:t>
      </w:r>
    </w:p>
    <w:tbl>
      <w:tblPr>
        <w:tblStyle w:val="5"/>
        <w:tblW w:w="10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2951"/>
        <w:gridCol w:w="2899"/>
        <w:gridCol w:w="2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1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20" w:lineRule="exact"/>
              <w:ind w:left="0" w:right="0"/>
              <w:jc w:val="center"/>
              <w:textAlignment w:val="auto"/>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仪器品牌</w:t>
            </w:r>
          </w:p>
        </w:tc>
        <w:tc>
          <w:tcPr>
            <w:tcW w:w="29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2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安捷伦</w:t>
            </w:r>
          </w:p>
        </w:tc>
        <w:tc>
          <w:tcPr>
            <w:tcW w:w="289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2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Polymer Char</w:t>
            </w:r>
          </w:p>
        </w:tc>
        <w:tc>
          <w:tcPr>
            <w:tcW w:w="252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2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东曹 Tosoh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76" w:type="dxa"/>
            <w:tcBorders>
              <w:top w:val="nil"/>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40" w:lineRule="exact"/>
              <w:ind w:left="0" w:right="0"/>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仪器型号</w:t>
            </w:r>
          </w:p>
        </w:tc>
        <w:tc>
          <w:tcPr>
            <w:tcW w:w="29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1260 Infinity II HTGPC System</w:t>
            </w:r>
          </w:p>
        </w:tc>
        <w:tc>
          <w:tcPr>
            <w:tcW w:w="2899" w:type="dxa"/>
            <w:tcBorders>
              <w:top w:val="nil"/>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GPC-IR</w:t>
            </w:r>
          </w:p>
        </w:tc>
        <w:tc>
          <w:tcPr>
            <w:tcW w:w="2529" w:type="dxa"/>
            <w:tcBorders>
              <w:top w:val="nil"/>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8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lang w:val="en-US" w:eastAsia="zh-CN"/>
              </w:rPr>
              <w:t>HLC-8321GPC/HT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176" w:type="dxa"/>
            <w:tcBorders>
              <w:top w:val="nil"/>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40" w:lineRule="exact"/>
              <w:ind w:left="0" w:right="0"/>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温度范围</w:t>
            </w:r>
          </w:p>
        </w:tc>
        <w:tc>
          <w:tcPr>
            <w:tcW w:w="29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室温以上10℃-220 ℃</w:t>
            </w:r>
          </w:p>
        </w:tc>
        <w:tc>
          <w:tcPr>
            <w:tcW w:w="2899" w:type="dxa"/>
            <w:tcBorders>
              <w:top w:val="nil"/>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室温以上10℃-220 ℃</w:t>
            </w:r>
          </w:p>
        </w:tc>
        <w:tc>
          <w:tcPr>
            <w:tcW w:w="2529" w:type="dxa"/>
            <w:tcBorders>
              <w:top w:val="nil"/>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室温以上10℃-220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176" w:type="dxa"/>
            <w:tcBorders>
              <w:top w:val="nil"/>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40" w:lineRule="exact"/>
              <w:ind w:left="0" w:right="0"/>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进样量</w:t>
            </w:r>
          </w:p>
        </w:tc>
        <w:tc>
          <w:tcPr>
            <w:tcW w:w="29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50-500µL定量环进样</w:t>
            </w:r>
          </w:p>
        </w:tc>
        <w:tc>
          <w:tcPr>
            <w:tcW w:w="2899" w:type="dxa"/>
            <w:tcBorders>
              <w:top w:val="nil"/>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200µL定量环进样</w:t>
            </w:r>
          </w:p>
        </w:tc>
        <w:tc>
          <w:tcPr>
            <w:tcW w:w="2529" w:type="dxa"/>
            <w:tcBorders>
              <w:top w:val="nil"/>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200µL定量环进样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76" w:type="dxa"/>
            <w:tcBorders>
              <w:top w:val="nil"/>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40" w:lineRule="exact"/>
              <w:ind w:left="0" w:right="0"/>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自动进样器</w:t>
            </w:r>
          </w:p>
        </w:tc>
        <w:tc>
          <w:tcPr>
            <w:tcW w:w="29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both"/>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顶入式自动进样器，双温区预热，两个独立加热区：热区和温区，热区和温区可以独立控温从室温以上10℃到220℃</w:t>
            </w:r>
          </w:p>
        </w:tc>
        <w:tc>
          <w:tcPr>
            <w:tcW w:w="2899" w:type="dxa"/>
            <w:tcBorders>
              <w:top w:val="nil"/>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固体样品注入溶剂、震荡加热溶解、在线过滤、注射；独立加热区：常温区和加热区</w:t>
            </w:r>
          </w:p>
        </w:tc>
        <w:tc>
          <w:tcPr>
            <w:tcW w:w="2529" w:type="dxa"/>
            <w:tcBorders>
              <w:top w:val="nil"/>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托盘转动时会自动锁紧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176" w:type="dxa"/>
            <w:tcBorders>
              <w:top w:val="nil"/>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40" w:lineRule="exact"/>
              <w:ind w:left="0" w:right="0"/>
              <w:jc w:val="center"/>
              <w:rPr>
                <w:rFonts w:hint="default" w:ascii="Times New Roman" w:hAnsi="Times New Roman" w:eastAsia="仿宋_GB2312" w:cs="Times New Roman"/>
                <w:b/>
                <w:bCs/>
                <w:color w:val="000000"/>
                <w:sz w:val="24"/>
              </w:rPr>
            </w:pPr>
            <w:r>
              <w:rPr>
                <w:rFonts w:hint="eastAsia" w:ascii="Times New Roman" w:hAnsi="Times New Roman" w:eastAsia="仿宋_GB2312" w:cs="Times New Roman"/>
                <w:b/>
                <w:bCs/>
                <w:color w:val="000000"/>
                <w:sz w:val="24"/>
                <w:lang w:val="en-US" w:eastAsia="zh-CN"/>
              </w:rPr>
              <w:t>柱温箱</w:t>
            </w:r>
            <w:r>
              <w:rPr>
                <w:rFonts w:hint="default" w:ascii="Times New Roman" w:hAnsi="Times New Roman" w:eastAsia="仿宋_GB2312" w:cs="Times New Roman"/>
                <w:b/>
                <w:bCs/>
                <w:color w:val="000000"/>
                <w:sz w:val="24"/>
              </w:rPr>
              <w:t>温度稳定性</w:t>
            </w:r>
          </w:p>
        </w:tc>
        <w:tc>
          <w:tcPr>
            <w:tcW w:w="29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≤每小时0.05 ℃</w:t>
            </w:r>
          </w:p>
        </w:tc>
        <w:tc>
          <w:tcPr>
            <w:tcW w:w="2899" w:type="dxa"/>
            <w:tcBorders>
              <w:top w:val="nil"/>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≤每小时0.05 ℃</w:t>
            </w:r>
          </w:p>
        </w:tc>
        <w:tc>
          <w:tcPr>
            <w:tcW w:w="2529" w:type="dxa"/>
            <w:tcBorders>
              <w:top w:val="nil"/>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≤每小时0.05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176" w:type="dxa"/>
            <w:tcBorders>
              <w:top w:val="nil"/>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40" w:lineRule="exact"/>
              <w:ind w:left="0" w:right="0"/>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柱温箱设计</w:t>
            </w:r>
          </w:p>
        </w:tc>
        <w:tc>
          <w:tcPr>
            <w:tcW w:w="29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进样系统、色谱柱、检测器设计在同一个温区（保温箱）内</w:t>
            </w:r>
          </w:p>
        </w:tc>
        <w:tc>
          <w:tcPr>
            <w:tcW w:w="2899" w:type="dxa"/>
            <w:tcBorders>
              <w:top w:val="nil"/>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000000"/>
                <w:sz w:val="24"/>
              </w:rPr>
            </w:pPr>
            <w:bookmarkStart w:id="0" w:name="_GoBack"/>
            <w:bookmarkEnd w:id="0"/>
            <w:r>
              <w:rPr>
                <w:rFonts w:hint="default" w:ascii="Times New Roman" w:hAnsi="Times New Roman" w:eastAsia="仿宋_GB2312" w:cs="Times New Roman"/>
                <w:color w:val="000000"/>
                <w:sz w:val="24"/>
              </w:rPr>
              <w:t>独立于其他设备，内有色谱柱</w:t>
            </w:r>
          </w:p>
        </w:tc>
        <w:tc>
          <w:tcPr>
            <w:tcW w:w="2529" w:type="dxa"/>
            <w:tcBorders>
              <w:top w:val="nil"/>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和色谱柱、RI检测器设计在同一个温区（保温箱）内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jc w:val="center"/>
        </w:trPr>
        <w:tc>
          <w:tcPr>
            <w:tcW w:w="2176" w:type="dxa"/>
            <w:tcBorders>
              <w:top w:val="nil"/>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40" w:lineRule="exact"/>
              <w:ind w:left="0" w:right="0"/>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装载能力</w:t>
            </w:r>
          </w:p>
        </w:tc>
        <w:tc>
          <w:tcPr>
            <w:tcW w:w="29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rPr>
              <w:t xml:space="preserve"> 300mm色谱柱×6</w:t>
            </w:r>
            <w:r>
              <w:rPr>
                <w:rFonts w:hint="eastAsia" w:ascii="Times New Roman" w:hAnsi="Times New Roman" w:eastAsia="仿宋_GB2312" w:cs="Times New Roman"/>
                <w:color w:val="000000"/>
                <w:sz w:val="24"/>
                <w:lang w:val="en-US" w:eastAsia="zh-CN"/>
              </w:rPr>
              <w:t>根</w:t>
            </w:r>
          </w:p>
        </w:tc>
        <w:tc>
          <w:tcPr>
            <w:tcW w:w="2899" w:type="dxa"/>
            <w:tcBorders>
              <w:top w:val="nil"/>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eastAsia"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4"/>
              </w:rPr>
              <w:t>330mm色谱柱×4</w:t>
            </w:r>
            <w:r>
              <w:rPr>
                <w:rFonts w:hint="eastAsia" w:ascii="Times New Roman" w:hAnsi="Times New Roman" w:eastAsia="仿宋_GB2312" w:cs="Times New Roman"/>
                <w:color w:val="000000"/>
                <w:sz w:val="24"/>
                <w:lang w:val="en-US" w:eastAsia="zh-CN"/>
              </w:rPr>
              <w:t>根</w:t>
            </w:r>
          </w:p>
        </w:tc>
        <w:tc>
          <w:tcPr>
            <w:tcW w:w="2529" w:type="dxa"/>
            <w:tcBorders>
              <w:top w:val="nil"/>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300mm色谱柱×8，保护柱×1，在线过滤器×1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176" w:type="dxa"/>
            <w:tcBorders>
              <w:top w:val="nil"/>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40" w:lineRule="exact"/>
              <w:ind w:left="0" w:right="0"/>
              <w:jc w:val="center"/>
              <w:rPr>
                <w:rFonts w:hint="default" w:ascii="Times New Roman" w:hAnsi="Times New Roman" w:eastAsia="仿宋_GB2312" w:cs="Times New Roman"/>
                <w:b/>
                <w:bCs/>
                <w:color w:val="000000"/>
                <w:sz w:val="24"/>
              </w:rPr>
            </w:pPr>
            <w:r>
              <w:rPr>
                <w:rFonts w:hint="default" w:ascii="Times New Roman" w:hAnsi="Times New Roman" w:eastAsia="仿宋_GB2312" w:cs="Times New Roman"/>
                <w:b/>
                <w:bCs/>
                <w:color w:val="000000"/>
                <w:sz w:val="24"/>
              </w:rPr>
              <w:t>检测器</w:t>
            </w:r>
          </w:p>
        </w:tc>
        <w:tc>
          <w:tcPr>
            <w:tcW w:w="29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000000"/>
                <w:sz w:val="24"/>
              </w:rPr>
            </w:pP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粘度检测器：流速范围：0.1 – 2.0 mL/min，基线噪音≦1mV，基线漂移≦3.0 mV/ HR；</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高温两角度光散射检测器：散射角：15° 和 90°，样品池体积：10µL，散射角体积：0.01µL，激光器：20mW 半导体， 激光器 @ 658nm，分子量范围10</w:t>
            </w:r>
            <w:r>
              <w:rPr>
                <w:rFonts w:hint="default" w:ascii="Times New Roman" w:hAnsi="Times New Roman" w:eastAsia="仿宋_GB2312" w:cs="Times New Roman"/>
                <w:color w:val="000000"/>
                <w:sz w:val="24"/>
                <w:vertAlign w:val="superscript"/>
              </w:rPr>
              <w:t>3</w:t>
            </w:r>
            <w:r>
              <w:rPr>
                <w:rFonts w:hint="default" w:ascii="Times New Roman" w:hAnsi="Times New Roman" w:eastAsia="仿宋_GB2312" w:cs="Times New Roman"/>
                <w:color w:val="000000"/>
                <w:sz w:val="24"/>
              </w:rPr>
              <w:t xml:space="preserve"> - 10</w:t>
            </w:r>
            <w:r>
              <w:rPr>
                <w:rFonts w:hint="default" w:ascii="Times New Roman" w:hAnsi="Times New Roman" w:eastAsia="仿宋_GB2312" w:cs="Times New Roman"/>
                <w:color w:val="000000"/>
                <w:sz w:val="24"/>
                <w:vertAlign w:val="superscript"/>
              </w:rPr>
              <w:t>7</w:t>
            </w:r>
            <w:r>
              <w:rPr>
                <w:rFonts w:hint="default" w:ascii="Times New Roman" w:hAnsi="Times New Roman" w:eastAsia="仿宋_GB2312" w:cs="Times New Roman"/>
                <w:color w:val="000000"/>
                <w:sz w:val="24"/>
              </w:rPr>
              <w:t>，回转半径12 – 150 nm</w:t>
            </w:r>
          </w:p>
        </w:tc>
        <w:tc>
          <w:tcPr>
            <w:tcW w:w="2899" w:type="dxa"/>
            <w:tcBorders>
              <w:top w:val="nil"/>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IR5MCT红外检测器，池体积：13uL；测试探头：浓度（总C-H），亚甲基（CH</w:t>
            </w:r>
            <w:r>
              <w:rPr>
                <w:rFonts w:hint="default" w:ascii="Times New Roman" w:hAnsi="Times New Roman" w:eastAsia="仿宋_GB2312" w:cs="Times New Roman"/>
                <w:color w:val="000000"/>
                <w:sz w:val="24"/>
                <w:vertAlign w:val="subscript"/>
              </w:rPr>
              <w:t>2</w:t>
            </w:r>
            <w:r>
              <w:rPr>
                <w:rFonts w:hint="default" w:ascii="Times New Roman" w:hAnsi="Times New Roman" w:eastAsia="仿宋_GB2312" w:cs="Times New Roman"/>
                <w:color w:val="000000"/>
                <w:sz w:val="24"/>
              </w:rPr>
              <w:t>）和甲基（CH</w:t>
            </w:r>
            <w:r>
              <w:rPr>
                <w:rFonts w:hint="default" w:ascii="Times New Roman" w:hAnsi="Times New Roman" w:eastAsia="仿宋_GB2312" w:cs="Times New Roman"/>
                <w:color w:val="000000"/>
                <w:sz w:val="24"/>
                <w:vertAlign w:val="subscript"/>
              </w:rPr>
              <w:t>3</w:t>
            </w:r>
            <w:r>
              <w:rPr>
                <w:rFonts w:hint="default" w:ascii="Times New Roman" w:hAnsi="Times New Roman" w:eastAsia="仿宋_GB2312" w:cs="Times New Roman"/>
                <w:color w:val="000000"/>
                <w:sz w:val="24"/>
              </w:rPr>
              <w:t>）；波数：2800-3000cm</w:t>
            </w:r>
            <w:r>
              <w:rPr>
                <w:rFonts w:hint="default" w:ascii="Times New Roman" w:hAnsi="Times New Roman" w:eastAsia="仿宋_GB2312" w:cs="Times New Roman"/>
                <w:color w:val="000000"/>
                <w:sz w:val="24"/>
                <w:vertAlign w:val="superscript"/>
              </w:rPr>
              <w:t>-1</w:t>
            </w:r>
            <w:r>
              <w:rPr>
                <w:rFonts w:hint="default" w:ascii="Times New Roman" w:hAnsi="Times New Roman" w:eastAsia="仿宋_GB2312" w:cs="Times New Roman"/>
                <w:color w:val="000000"/>
                <w:sz w:val="24"/>
              </w:rPr>
              <w:t>；MCT感应器：热电冷却，无需液氮；灵敏度：＞0.3AU/mg/ml（浓度）；漂移＜1× 10</w:t>
            </w:r>
            <w:r>
              <w:rPr>
                <w:rFonts w:hint="default" w:ascii="Times New Roman" w:hAnsi="Times New Roman" w:eastAsia="仿宋_GB2312" w:cs="Times New Roman"/>
                <w:color w:val="000000"/>
                <w:sz w:val="24"/>
                <w:vertAlign w:val="superscript"/>
              </w:rPr>
              <w:t>-3</w:t>
            </w:r>
            <w:r>
              <w:rPr>
                <w:rFonts w:hint="default" w:ascii="Times New Roman" w:hAnsi="Times New Roman" w:eastAsia="仿宋_GB2312" w:cs="Times New Roman"/>
                <w:color w:val="000000"/>
                <w:sz w:val="24"/>
              </w:rPr>
              <w:t>AU/8h；组分检出限＜1methyl/1000TC；VA%≤5；组分检测器噪声＜2×10</w:t>
            </w:r>
            <w:r>
              <w:rPr>
                <w:rFonts w:hint="default" w:ascii="Times New Roman" w:hAnsi="Times New Roman" w:eastAsia="仿宋_GB2312" w:cs="Times New Roman"/>
                <w:color w:val="000000"/>
                <w:sz w:val="24"/>
                <w:vertAlign w:val="superscript"/>
              </w:rPr>
              <w:t>-4</w:t>
            </w:r>
            <w:r>
              <w:rPr>
                <w:rFonts w:hint="default" w:ascii="Times New Roman" w:hAnsi="Times New Roman" w:eastAsia="仿宋_GB2312" w:cs="Times New Roman"/>
                <w:color w:val="000000"/>
                <w:sz w:val="24"/>
              </w:rPr>
              <w:t>AU；浓度检测器噪声＜1 ×10</w:t>
            </w:r>
            <w:r>
              <w:rPr>
                <w:rFonts w:hint="default" w:ascii="Times New Roman" w:hAnsi="Times New Roman" w:eastAsia="仿宋_GB2312" w:cs="Times New Roman"/>
                <w:color w:val="000000"/>
                <w:sz w:val="24"/>
                <w:vertAlign w:val="superscript"/>
              </w:rPr>
              <w:t>-4</w:t>
            </w:r>
            <w:r>
              <w:rPr>
                <w:rFonts w:hint="default" w:ascii="Times New Roman" w:hAnsi="Times New Roman" w:eastAsia="仿宋_GB2312" w:cs="Times New Roman"/>
                <w:color w:val="000000"/>
                <w:sz w:val="24"/>
              </w:rPr>
              <w:t>AU；最大操作压力：50bar；最大操作温度：180℃；</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粘度检测器，噪音：5×10</w:t>
            </w:r>
            <w:r>
              <w:rPr>
                <w:rFonts w:hint="default" w:ascii="Times New Roman" w:hAnsi="Times New Roman" w:eastAsia="仿宋_GB2312" w:cs="Times New Roman"/>
                <w:color w:val="000000"/>
                <w:sz w:val="24"/>
                <w:vertAlign w:val="superscript"/>
              </w:rPr>
              <w:t>-5</w:t>
            </w:r>
            <w:r>
              <w:rPr>
                <w:rFonts w:hint="default" w:ascii="Times New Roman" w:hAnsi="Times New Roman" w:eastAsia="仿宋_GB2312" w:cs="Times New Roman"/>
                <w:color w:val="000000"/>
                <w:sz w:val="24"/>
              </w:rPr>
              <w:t>增比粘度单位（1mL/min溶剂流速下）；漂移：5×10</w:t>
            </w:r>
            <w:r>
              <w:rPr>
                <w:rFonts w:hint="default" w:ascii="Times New Roman" w:hAnsi="Times New Roman" w:eastAsia="仿宋_GB2312" w:cs="Times New Roman"/>
                <w:color w:val="000000"/>
                <w:sz w:val="24"/>
                <w:vertAlign w:val="superscript"/>
              </w:rPr>
              <w:t>-4</w:t>
            </w:r>
            <w:r>
              <w:rPr>
                <w:rFonts w:hint="default" w:ascii="Times New Roman" w:hAnsi="Times New Roman" w:eastAsia="仿宋_GB2312" w:cs="Times New Roman"/>
                <w:color w:val="000000"/>
                <w:sz w:val="24"/>
              </w:rPr>
              <w:t>增比粘度单位（1mL/min溶剂流速下）；路径：串联在IR检测器后；有过压保护；测试体积：30uL</w:t>
            </w:r>
          </w:p>
        </w:tc>
        <w:tc>
          <w:tcPr>
            <w:tcW w:w="2529" w:type="dxa"/>
            <w:tcBorders>
              <w:top w:val="nil"/>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RI示差折光检测器，检测方式：布莱斯型双通道、双流路检测，温度范围：40℃-220℃（1℃步进），钨灯，检测范围：64256×10</w:t>
            </w:r>
            <w:r>
              <w:rPr>
                <w:rFonts w:hint="default" w:ascii="Times New Roman" w:hAnsi="Times New Roman" w:eastAsia="仿宋_GB2312" w:cs="Times New Roman"/>
                <w:color w:val="000000"/>
                <w:sz w:val="24"/>
                <w:vertAlign w:val="superscript"/>
              </w:rPr>
              <w:t>-6</w:t>
            </w:r>
            <w:r>
              <w:rPr>
                <w:rFonts w:hint="default" w:ascii="Times New Roman" w:hAnsi="Times New Roman" w:eastAsia="仿宋_GB2312" w:cs="Times New Roman"/>
                <w:color w:val="000000"/>
                <w:sz w:val="24"/>
              </w:rPr>
              <w:t>RIU/1V，检测池：10μL，耐压：0.3Mpa，漂移：3×10</w:t>
            </w:r>
            <w:r>
              <w:rPr>
                <w:rFonts w:hint="default" w:ascii="Times New Roman" w:hAnsi="Times New Roman" w:eastAsia="仿宋_GB2312" w:cs="Times New Roman"/>
                <w:color w:val="000000"/>
                <w:sz w:val="24"/>
                <w:vertAlign w:val="superscript"/>
              </w:rPr>
              <w:t>-7</w:t>
            </w:r>
            <w:r>
              <w:rPr>
                <w:rFonts w:hint="default" w:ascii="Times New Roman" w:hAnsi="Times New Roman" w:eastAsia="仿宋_GB2312" w:cs="Times New Roman"/>
                <w:color w:val="000000"/>
                <w:sz w:val="24"/>
              </w:rPr>
              <w:t>RIU/h（ODCB 1.0mL/min，145℃），噪音：1.5×10</w:t>
            </w:r>
            <w:r>
              <w:rPr>
                <w:rFonts w:hint="default" w:ascii="Times New Roman" w:hAnsi="Times New Roman" w:eastAsia="仿宋_GB2312" w:cs="Times New Roman"/>
                <w:color w:val="000000"/>
                <w:sz w:val="24"/>
                <w:vertAlign w:val="superscript"/>
              </w:rPr>
              <w:t>-8</w:t>
            </w:r>
            <w:r>
              <w:rPr>
                <w:rFonts w:hint="default" w:ascii="Times New Roman" w:hAnsi="Times New Roman" w:eastAsia="仿宋_GB2312" w:cs="Times New Roman"/>
                <w:color w:val="000000"/>
                <w:sz w:val="24"/>
              </w:rPr>
              <w:t xml:space="preserve">RIU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jc w:val="center"/>
        </w:trPr>
        <w:tc>
          <w:tcPr>
            <w:tcW w:w="217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jc w:val="center"/>
              <w:textAlignment w:val="auto"/>
              <w:rPr>
                <w:rFonts w:hint="eastAsia" w:ascii="Times New Roman" w:hAnsi="Times New Roman" w:eastAsia="仿宋_GB2312" w:cs="Times New Roman"/>
                <w:b/>
                <w:bCs/>
                <w:color w:val="000000"/>
                <w:sz w:val="24"/>
                <w:lang w:eastAsia="zh-CN"/>
              </w:rPr>
            </w:pPr>
            <w:r>
              <w:rPr>
                <w:rFonts w:hint="default" w:ascii="Times New Roman" w:hAnsi="Times New Roman" w:eastAsia="仿宋_GB2312" w:cs="Times New Roman"/>
                <w:b/>
                <w:bCs/>
                <w:color w:val="000000"/>
                <w:sz w:val="24"/>
              </w:rPr>
              <w:t>选配</w:t>
            </w:r>
            <w:r>
              <w:rPr>
                <w:rFonts w:hint="eastAsia" w:ascii="Times New Roman" w:hAnsi="Times New Roman" w:eastAsia="仿宋_GB2312" w:cs="Times New Roman"/>
                <w:b/>
                <w:bCs/>
                <w:color w:val="000000"/>
                <w:sz w:val="24"/>
                <w:lang w:val="en-US" w:eastAsia="zh-CN"/>
              </w:rPr>
              <w:t>装置</w:t>
            </w:r>
          </w:p>
        </w:tc>
        <w:tc>
          <w:tcPr>
            <w:tcW w:w="29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jc w:val="center"/>
              <w:textAlignment w:val="auto"/>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w:t>
            </w:r>
          </w:p>
        </w:tc>
        <w:tc>
          <w:tcPr>
            <w:tcW w:w="2899" w:type="dxa"/>
            <w:tcBorders>
              <w:top w:val="nil"/>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jc w:val="center"/>
              <w:textAlignment w:val="auto"/>
              <w:rPr>
                <w:rFonts w:hint="eastAsia" w:ascii="Times New Roman" w:hAnsi="Times New Roman" w:eastAsia="仿宋_GB2312" w:cs="Times New Roman"/>
                <w:color w:val="000000"/>
                <w:sz w:val="24"/>
                <w:lang w:eastAsia="zh-CN"/>
              </w:rPr>
            </w:pPr>
            <w:r>
              <w:rPr>
                <w:rFonts w:hint="eastAsia" w:ascii="Times New Roman" w:hAnsi="Times New Roman" w:eastAsia="仿宋_GB2312" w:cs="Times New Roman"/>
                <w:color w:val="000000"/>
                <w:sz w:val="24"/>
                <w:lang w:eastAsia="zh-CN"/>
              </w:rPr>
              <w:t>—</w:t>
            </w:r>
          </w:p>
        </w:tc>
        <w:tc>
          <w:tcPr>
            <w:tcW w:w="2529" w:type="dxa"/>
            <w:tcBorders>
              <w:top w:val="nil"/>
              <w:left w:val="nil"/>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40" w:lineRule="exact"/>
              <w:ind w:left="0" w:right="0"/>
              <w:jc w:val="center"/>
              <w:textAlignment w:val="auto"/>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外部检测器管路加热器</w:t>
            </w:r>
          </w:p>
        </w:tc>
      </w:tr>
    </w:tbl>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四、条件准备情况</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实验室具备电（220V单相电源）、通风（排气系统）、实验平台等安装条件。</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五、可能存在的安全性问题</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该设备使用过程无放射物产生，可能产生少量废气、废液可由通风净化系统及废液收集系统处理，不会产生安全性问题。</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pPr>
                            <w:pStyle w:val="11"/>
                            <w:jc w:val="left"/>
                            <w:rPr>
                              <w:sz w:val="18"/>
                              <w:szCs w:val="18"/>
                            </w:rPr>
                          </w:pPr>
                          <w:r>
                            <w:rPr>
                              <w:rFonts w:ascii="Times New Roman" w:hAnsi="Times New Roman" w:eastAsia="Times New Roman" w:cs="Times New Roman"/>
                              <w:color w:val="000000"/>
                              <w:sz w:val="18"/>
                              <w:szCs w:val="18"/>
                            </w:rPr>
                            <w:t>-1 -</w:t>
                          </w:r>
                        </w:p>
                      </w:txbxContent>
                    </wps:txbx>
                    <wps:bodyPr wrap="none" lIns="0" tIns="0" rIns="0" bIns="0">
                      <a:spAutoFit/>
                    </wps:bodyPr>
                  </wps:wsp>
                </a:graphicData>
              </a:graphic>
            </wp:anchor>
          </w:drawing>
        </mc:Choice>
        <mc:Fallback>
          <w:pict>
            <v:shape id="Shape 10" o:spid="_x0000_s1026" o:spt="202" type="#_x0000_t202" style="position:absolute;left:0pt;margin-left:302.3pt;margin-top:804.05pt;height:6.1pt;width:14.75pt;mso-position-horizontal-relative:page;mso-position-vertical-relative:page;mso-wrap-style:none;z-index:-251657216;mso-width-relative:page;mso-height-relative:page;" filled="f" stroked="f" coordsize="21600,21600" o:gfxdata="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KL9aJ2AAA&#10;AA0BAAAPAAAAAAAAAAEAIAAAACIAAABkcnMvZG93bnJldi54bWxQSwECFAAUAAAACACHTuJAuqom&#10;dawBAABwAwAADgAAAAAAAAABACAAAAAnAQAAZHJzL2Uyb0RvYy54bWxQSwUGAAAAAAYABgBZAQAA&#10;RQUAAAAA&#10;">
              <v:fill on="f" focussize="0,0"/>
              <v:stroke on="f"/>
              <v:imagedata o:title=""/>
              <o:lock v:ext="edit" aspectratio="f"/>
              <v:textbox inset="0mm,0mm,0mm,0mm" style="mso-fit-shape-to-text:t;">
                <w:txbxContent>
                  <w:p>
                    <w:pPr>
                      <w:pStyle w:val="11"/>
                      <w:jc w:val="left"/>
                      <w:rPr>
                        <w:sz w:val="18"/>
                        <w:szCs w:val="18"/>
                      </w:rPr>
                    </w:pPr>
                    <w:r>
                      <w:rPr>
                        <w:rFonts w:ascii="Times New Roman" w:hAnsi="Times New Roman" w:eastAsia="Times New Roman" w:cs="Times New Roman"/>
                        <w:color w:val="000000"/>
                        <w:sz w:val="18"/>
                        <w:szCs w:val="18"/>
                      </w:rPr>
                      <w:t>-1 -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4008B"/>
    <w:rsid w:val="00052A08"/>
    <w:rsid w:val="000728D9"/>
    <w:rsid w:val="000C2460"/>
    <w:rsid w:val="002B1651"/>
    <w:rsid w:val="00381E33"/>
    <w:rsid w:val="004E5283"/>
    <w:rsid w:val="0059767E"/>
    <w:rsid w:val="006B3B44"/>
    <w:rsid w:val="006F7AFC"/>
    <w:rsid w:val="00AF2930"/>
    <w:rsid w:val="00EB7E60"/>
    <w:rsid w:val="01EA0E83"/>
    <w:rsid w:val="0301396B"/>
    <w:rsid w:val="05154E61"/>
    <w:rsid w:val="0ACD3951"/>
    <w:rsid w:val="0C2107A9"/>
    <w:rsid w:val="0CF462EF"/>
    <w:rsid w:val="108F4BD1"/>
    <w:rsid w:val="11C95F9C"/>
    <w:rsid w:val="1209283C"/>
    <w:rsid w:val="130628D8"/>
    <w:rsid w:val="14C94C7D"/>
    <w:rsid w:val="1E592455"/>
    <w:rsid w:val="1FBB33A3"/>
    <w:rsid w:val="226D5B4F"/>
    <w:rsid w:val="23201794"/>
    <w:rsid w:val="240E07A9"/>
    <w:rsid w:val="251D242F"/>
    <w:rsid w:val="257B5FDE"/>
    <w:rsid w:val="25C44658"/>
    <w:rsid w:val="29D46E34"/>
    <w:rsid w:val="2B2160A9"/>
    <w:rsid w:val="2B724B56"/>
    <w:rsid w:val="2C5509C3"/>
    <w:rsid w:val="2E6863BB"/>
    <w:rsid w:val="2E7F7CB6"/>
    <w:rsid w:val="304F04EB"/>
    <w:rsid w:val="30C84A8F"/>
    <w:rsid w:val="31041D87"/>
    <w:rsid w:val="33F9446E"/>
    <w:rsid w:val="3522139B"/>
    <w:rsid w:val="35BA60CE"/>
    <w:rsid w:val="39C33C94"/>
    <w:rsid w:val="3D0535B4"/>
    <w:rsid w:val="40C33A32"/>
    <w:rsid w:val="47947ED7"/>
    <w:rsid w:val="483E65AE"/>
    <w:rsid w:val="4BFE6267"/>
    <w:rsid w:val="4C2A6435"/>
    <w:rsid w:val="536D782E"/>
    <w:rsid w:val="55591C47"/>
    <w:rsid w:val="564927D4"/>
    <w:rsid w:val="57D85FAF"/>
    <w:rsid w:val="5F131BD1"/>
    <w:rsid w:val="709541F4"/>
    <w:rsid w:val="70DA3D9B"/>
    <w:rsid w:val="70FF1E55"/>
    <w:rsid w:val="74543DB5"/>
    <w:rsid w:val="75613323"/>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7">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9">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0">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Header or footer|2"/>
    <w:basedOn w:val="1"/>
    <w:qFormat/>
    <w:uiPriority w:val="0"/>
    <w:rPr>
      <w:sz w:val="20"/>
      <w:szCs w:val="20"/>
      <w:lang w:val="zh-TW" w:eastAsia="zh-TW" w:bidi="zh-TW"/>
    </w:rPr>
  </w:style>
  <w:style w:type="paragraph" w:customStyle="1" w:styleId="12">
    <w:name w:val="Body text|2"/>
    <w:basedOn w:val="1"/>
    <w:qFormat/>
    <w:uiPriority w:val="0"/>
    <w:pPr>
      <w:spacing w:line="736" w:lineRule="exact"/>
      <w:ind w:left="340" w:hanging="340"/>
    </w:pPr>
    <w:rPr>
      <w:rFonts w:ascii="宋体" w:hAnsi="宋体" w:eastAsia="宋体" w:cs="宋体"/>
      <w:sz w:val="28"/>
      <w:szCs w:val="28"/>
      <w:lang w:val="zh-TW" w:eastAsia="zh-TW" w:bidi="zh-TW"/>
    </w:rPr>
  </w:style>
  <w:style w:type="character" w:customStyle="1" w:styleId="13">
    <w:name w:val="页眉 字符"/>
    <w:basedOn w:val="6"/>
    <w:link w:val="3"/>
    <w:qFormat/>
    <w:uiPriority w:val="0"/>
    <w:rPr>
      <w:rFonts w:asciiTheme="minorHAnsi" w:hAnsiTheme="minorHAnsi" w:eastAsiaTheme="minorEastAsia" w:cstheme="minorBidi"/>
      <w:kern w:val="2"/>
      <w:sz w:val="18"/>
      <w:szCs w:val="18"/>
    </w:rPr>
  </w:style>
  <w:style w:type="character" w:customStyle="1" w:styleId="14">
    <w:name w:val="页脚 字符"/>
    <w:basedOn w:val="6"/>
    <w:link w:val="2"/>
    <w:qFormat/>
    <w:uiPriority w:val="0"/>
    <w:rPr>
      <w:rFonts w:asciiTheme="minorHAnsi" w:hAnsiTheme="minorHAnsi" w:eastAsiaTheme="minorEastAsia" w:cstheme="minorBidi"/>
      <w:kern w:val="2"/>
      <w:sz w:val="18"/>
      <w:szCs w:val="18"/>
    </w:rPr>
  </w:style>
  <w:style w:type="character" w:customStyle="1" w:styleId="15">
    <w:name w:val="font71"/>
    <w:basedOn w:val="6"/>
    <w:qFormat/>
    <w:uiPriority w:val="0"/>
    <w:rPr>
      <w:rFonts w:hint="eastAsia" w:ascii="宋体" w:hAnsi="宋体" w:eastAsia="宋体" w:cs="宋体"/>
      <w:color w:val="000000"/>
      <w:sz w:val="22"/>
      <w:szCs w:val="22"/>
      <w:u w:val="none"/>
    </w:rPr>
  </w:style>
  <w:style w:type="character" w:customStyle="1" w:styleId="16">
    <w:name w:val="font5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1524</Words>
  <Characters>1827</Characters>
  <Lines>2</Lines>
  <Paragraphs>2</Paragraphs>
  <TotalTime>16</TotalTime>
  <ScaleCrop>false</ScaleCrop>
  <LinksUpToDate>false</LinksUpToDate>
  <CharactersWithSpaces>1860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2021-12-06T02:49:00Z</dcterms:created>
  <dc:creator>阿融</dc:creator>
  <cp:lastModifiedBy>阿融</cp:lastModifiedBy>
  <dcterms:modified xsi:type="dcterms:W3CDTF">2022-04-20T08:19:09Z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4B367E291DFE4B6FAF64DC9BD6B08C81</vt:lpwstr>
  </property>
</Properties>
</file>