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E834" w14:textId="4498FC20" w:rsidR="002E4269" w:rsidRPr="00261C6A" w:rsidRDefault="00016DE1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 w:rsidRPr="00261C6A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清源创新实验室</w:t>
      </w:r>
      <w:r w:rsidR="00261C6A" w:rsidRPr="00261C6A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动态颗粒图像观测系统</w:t>
      </w:r>
      <w:r w:rsidRPr="00261C6A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需求调研情况</w:t>
      </w:r>
    </w:p>
    <w:p w14:paraId="76C5C1CB" w14:textId="77777777" w:rsidR="002E4269" w:rsidRPr="003208B7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一、仪器设备使用的项目</w:t>
      </w:r>
    </w:p>
    <w:p w14:paraId="1BA87DB6" w14:textId="178F0ED2" w:rsidR="002E4269" w:rsidRPr="00261C6A" w:rsidRDefault="00261C6A" w:rsidP="00A60F7B">
      <w:pPr>
        <w:spacing w:afterLines="50" w:after="156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1C6A">
        <w:rPr>
          <w:rFonts w:ascii="仿宋" w:eastAsia="仿宋" w:hAnsi="仿宋" w:hint="eastAsia"/>
          <w:color w:val="000000" w:themeColor="text1"/>
          <w:sz w:val="32"/>
          <w:szCs w:val="32"/>
        </w:rPr>
        <w:t>动态颗粒图像观测系统</w:t>
      </w:r>
      <w:r w:rsidR="003208B7" w:rsidRPr="00261C6A">
        <w:rPr>
          <w:rFonts w:ascii="仿宋" w:eastAsia="仿宋" w:hAnsi="仿宋"/>
          <w:color w:val="000000" w:themeColor="text1"/>
          <w:sz w:val="32"/>
          <w:szCs w:val="32"/>
        </w:rPr>
        <w:t>采用微量</w:t>
      </w:r>
      <w:proofErr w:type="gramStart"/>
      <w:r w:rsidR="003208B7" w:rsidRPr="00261C6A">
        <w:rPr>
          <w:rFonts w:ascii="仿宋" w:eastAsia="仿宋" w:hAnsi="仿宋"/>
          <w:color w:val="000000" w:themeColor="text1"/>
          <w:sz w:val="32"/>
          <w:szCs w:val="32"/>
        </w:rPr>
        <w:t>池技术</w:t>
      </w:r>
      <w:proofErr w:type="gramEnd"/>
      <w:r w:rsidR="003208B7" w:rsidRPr="00261C6A">
        <w:rPr>
          <w:rFonts w:ascii="仿宋" w:eastAsia="仿宋" w:hAnsi="仿宋"/>
          <w:color w:val="000000" w:themeColor="text1"/>
          <w:sz w:val="32"/>
          <w:szCs w:val="32"/>
        </w:rPr>
        <w:t>和先进的光学系统精确、高效地检测颗粒。如果使用普通镜头，颗粒的可检测尺寸会受到颗粒与镜头之间距离的影响。使用远心镜头可保持恒定的图像放大倍率，这意味着无论颗粒位于视野中的哪个位置，系统都可以准确地确定颗粒粒度。自动对焦功能提高了成像效率，从而确保能够精确检测异物并获得重复性高的计数浓度</w:t>
      </w:r>
      <w:r w:rsidR="003208B7" w:rsidRPr="00261C6A">
        <w:rPr>
          <w:rFonts w:ascii="仿宋" w:eastAsia="仿宋" w:hAnsi="仿宋" w:hint="eastAsia"/>
          <w:color w:val="000000" w:themeColor="text1"/>
          <w:sz w:val="32"/>
          <w:szCs w:val="32"/>
        </w:rPr>
        <w:t>，此原理可以使得该设备同时测定粒子计数和粒子图像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  <w:r w:rsidR="009E4F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电子专用化学品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方向实验室计划购置的</w:t>
      </w:r>
      <w:r w:rsidRPr="00261C6A">
        <w:rPr>
          <w:rFonts w:ascii="仿宋" w:eastAsia="仿宋" w:hAnsi="仿宋" w:hint="eastAsia"/>
          <w:color w:val="000000" w:themeColor="text1"/>
          <w:sz w:val="32"/>
          <w:szCs w:val="32"/>
        </w:rPr>
        <w:t>动态颗粒图像观测系统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，主要用于</w:t>
      </w:r>
      <w:r w:rsidR="00C86402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研发过程中</w:t>
      </w:r>
      <w:r w:rsidR="003208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光刻胶、</w:t>
      </w:r>
      <w:bookmarkStart w:id="0" w:name="_GoBack"/>
      <w:bookmarkEnd w:id="0"/>
      <w:r w:rsidR="003208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电路板清洗剂中的粒度分布情况和粒子计数图像</w:t>
      </w:r>
      <w:r w:rsidR="00C86402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可服务于实验室各相关研究方向，加速</w:t>
      </w:r>
      <w:r w:rsidR="009E4F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电子专用化学品</w:t>
      </w:r>
      <w:r w:rsidR="00C86402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工艺优化，推动</w:t>
      </w:r>
      <w:r w:rsidR="009E4F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电子专用化学品</w:t>
      </w:r>
      <w:r w:rsidR="00016DE1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的应用研究进程。</w:t>
      </w:r>
    </w:p>
    <w:p w14:paraId="29EB776D" w14:textId="77777777" w:rsidR="002E4269" w:rsidRPr="00261C6A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二、在该项目中所承担的任务</w:t>
      </w:r>
    </w:p>
    <w:p w14:paraId="49514EF0" w14:textId="1A2E17A0" w:rsidR="002E4269" w:rsidRPr="003208B7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拟购置的</w:t>
      </w:r>
      <w:r w:rsidR="00261C6A" w:rsidRPr="00261C6A">
        <w:rPr>
          <w:rFonts w:ascii="仿宋" w:eastAsia="仿宋" w:hAnsi="仿宋" w:hint="eastAsia"/>
          <w:color w:val="000000" w:themeColor="text1"/>
          <w:sz w:val="32"/>
          <w:szCs w:val="32"/>
        </w:rPr>
        <w:t>动态颗粒图像观测系统</w:t>
      </w:r>
      <w:r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可以</w:t>
      </w:r>
      <w:r w:rsidR="00A60F7B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针对</w:t>
      </w:r>
      <w:r w:rsidR="003208B7" w:rsidRPr="00261C6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光刻胶、电路板清洗</w:t>
      </w:r>
      <w:r w:rsidR="003208B7"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剂的粒度分布情况和粒子计数图像</w:t>
      </w:r>
      <w:r w:rsidR="0089603F"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该设备的购置主要服务于清源实验室</w:t>
      </w:r>
      <w:r w:rsidR="0089603F"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电子专用化学品方向</w:t>
      </w:r>
      <w:r w:rsidRPr="003208B7">
        <w:rPr>
          <w:rFonts w:ascii="仿宋" w:eastAsia="仿宋" w:hAnsi="仿宋" w:cs="仿宋_GB2312" w:hint="eastAsia"/>
          <w:color w:val="000000"/>
          <w:sz w:val="32"/>
          <w:szCs w:val="32"/>
        </w:rPr>
        <w:t>所承担国家省部及企业合作项目及各类人才的培养。</w:t>
      </w:r>
    </w:p>
    <w:p w14:paraId="4F4E2BD2" w14:textId="77777777" w:rsidR="002E4269" w:rsidRPr="0089603F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三、国内外同类项目所用的仪器设备及优缺点对比</w:t>
      </w:r>
    </w:p>
    <w:tbl>
      <w:tblPr>
        <w:tblW w:w="10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2188"/>
        <w:gridCol w:w="652"/>
        <w:gridCol w:w="1583"/>
        <w:gridCol w:w="168"/>
        <w:gridCol w:w="2067"/>
      </w:tblGrid>
      <w:tr w:rsidR="002E4269" w:rsidRPr="0089603F" w14:paraId="09FD91D1" w14:textId="77777777" w:rsidTr="00A60F7B">
        <w:trPr>
          <w:trHeight w:hRule="exact" w:val="4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400F1" w14:textId="77777777" w:rsidR="002E4269" w:rsidRPr="003208B7" w:rsidRDefault="00016DE1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4D560" w14:textId="77777777" w:rsidR="002E4269" w:rsidRPr="003208B7" w:rsidRDefault="00016DE1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83B7" w14:textId="77777777" w:rsidR="002E4269" w:rsidRPr="003208B7" w:rsidRDefault="00016DE1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制造公司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D408" w14:textId="77777777" w:rsidR="002E4269" w:rsidRPr="003208B7" w:rsidRDefault="00016DE1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使用单位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F480" w14:textId="77777777" w:rsidR="002E4269" w:rsidRPr="003208B7" w:rsidRDefault="00016DE1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购置时间</w:t>
            </w:r>
          </w:p>
        </w:tc>
      </w:tr>
      <w:tr w:rsidR="009D1F08" w:rsidRPr="0089603F" w14:paraId="6C20D610" w14:textId="77777777" w:rsidTr="00A60F7B">
        <w:trPr>
          <w:trHeight w:hRule="exact"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FC50F" w14:textId="6F599721" w:rsidR="009D1F08" w:rsidRPr="003208B7" w:rsidRDefault="009D1F08" w:rsidP="009D1F08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sz w:val="20"/>
                <w:szCs w:val="20"/>
              </w:rPr>
              <w:t>日本岛津</w:t>
            </w:r>
            <w:r w:rsidR="003208B7"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iSpect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7AAE3" w14:textId="5198A4D4" w:rsidR="009D1F08" w:rsidRPr="003208B7" w:rsidRDefault="003208B7" w:rsidP="009D1F08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iSpect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3A985" w14:textId="5F94CE09" w:rsidR="009D1F08" w:rsidRPr="003208B7" w:rsidRDefault="009D1F08" w:rsidP="009D1F08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sz w:val="20"/>
                <w:szCs w:val="20"/>
              </w:rPr>
              <w:t>日本岛津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B321B" w14:textId="7F4A4A61" w:rsidR="009D1F08" w:rsidRPr="003208B7" w:rsidRDefault="003208B7" w:rsidP="009D1F08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  <w:lang w:eastAsia="zh-CN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E0AC" w14:textId="40CA5065" w:rsidR="009D1F08" w:rsidRPr="003208B7" w:rsidRDefault="003208B7" w:rsidP="009D1F08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208B7" w:rsidRPr="0089603F" w14:paraId="416B5059" w14:textId="77777777" w:rsidTr="00A60F7B">
        <w:trPr>
          <w:trHeight w:hRule="exact" w:val="7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0AC4" w14:textId="72F76ECC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/>
                <w:spacing w:val="-2"/>
                <w:sz w:val="20"/>
                <w:szCs w:val="20"/>
              </w:rPr>
              <w:t>美国</w:t>
            </w:r>
            <w:proofErr w:type="spellStart"/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micromeritics</w:t>
            </w:r>
            <w:proofErr w:type="spellEnd"/>
            <w:r w:rsidRPr="003208B7">
              <w:rPr>
                <w:rFonts w:ascii="仿宋" w:eastAsia="仿宋" w:hAnsi="仿宋"/>
                <w:color w:val="000000"/>
                <w:sz w:val="20"/>
                <w:szCs w:val="20"/>
              </w:rPr>
              <w:t xml:space="preserve"> 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Particle Insight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6CADD" w14:textId="56C4D914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Particle Insight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229B" w14:textId="19C782D6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/>
                <w:spacing w:val="-2"/>
                <w:sz w:val="20"/>
                <w:szCs w:val="20"/>
              </w:rPr>
              <w:t>美国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micromeritics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94F21" w14:textId="1369D596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  <w:lang w:eastAsia="zh-CN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D8606" w14:textId="05AB4825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—</w:t>
            </w:r>
          </w:p>
        </w:tc>
      </w:tr>
      <w:tr w:rsidR="003208B7" w:rsidRPr="0089603F" w14:paraId="11F44145" w14:textId="77777777" w:rsidTr="00A60F7B">
        <w:trPr>
          <w:trHeight w:hRule="exact" w:val="81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63AB3" w14:textId="7238756F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美国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microtrac</w:t>
            </w:r>
            <w:r w:rsidRPr="003208B7">
              <w:rPr>
                <w:rFonts w:ascii="仿宋" w:eastAsia="仿宋" w:hAnsi="仿宋"/>
                <w:color w:val="000000"/>
                <w:sz w:val="20"/>
                <w:szCs w:val="20"/>
              </w:rPr>
              <w:t xml:space="preserve"> 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D319" w14:textId="2D631228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PartAn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3967" w14:textId="3398467E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美国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microtrac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2FCAE" w14:textId="682A6DCA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9992" w14:textId="3712CED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—</w:t>
            </w:r>
          </w:p>
        </w:tc>
      </w:tr>
      <w:tr w:rsidR="003208B7" w:rsidRPr="0089603F" w14:paraId="2D3C2D8D" w14:textId="77777777" w:rsidTr="00A60F7B">
        <w:trPr>
          <w:trHeight w:hRule="exact" w:val="401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B5A0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/>
                <w:sz w:val="20"/>
                <w:szCs w:val="20"/>
              </w:rPr>
              <w:t>优缺点对比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B8DB" w14:textId="77777777" w:rsidR="003208B7" w:rsidRPr="003208B7" w:rsidRDefault="003208B7" w:rsidP="00320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7B74" w14:textId="77777777" w:rsidR="003208B7" w:rsidRPr="003208B7" w:rsidRDefault="003208B7" w:rsidP="00320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8FF70" w14:textId="77777777" w:rsidR="003208B7" w:rsidRPr="003208B7" w:rsidRDefault="003208B7" w:rsidP="00320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208B7" w:rsidRPr="0089603F" w14:paraId="6BB2A134" w14:textId="77777777" w:rsidTr="00A60F7B">
        <w:trPr>
          <w:trHeight w:hRule="exact" w:val="3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C4719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lastRenderedPageBreak/>
              <w:t>品牌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71DD" w14:textId="77777777" w:rsidR="003208B7" w:rsidRPr="003208B7" w:rsidRDefault="003208B7" w:rsidP="003208B7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CCE6D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优点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80CB5" w14:textId="77777777" w:rsidR="003208B7" w:rsidRPr="003208B7" w:rsidRDefault="003208B7" w:rsidP="003208B7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C3ED0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缺点</w:t>
            </w:r>
          </w:p>
        </w:tc>
      </w:tr>
      <w:tr w:rsidR="003208B7" w:rsidRPr="0089603F" w14:paraId="73D4B413" w14:textId="77777777" w:rsidTr="00A60F7B">
        <w:trPr>
          <w:trHeight w:hRule="exact" w:val="58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3A9B" w14:textId="1067AE82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sz w:val="20"/>
                <w:szCs w:val="20"/>
              </w:rPr>
              <w:t>日本岛津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829BF" w14:textId="7E9BD071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  <w:lang w:eastAsia="zh-CN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pacing w:val="-5"/>
                <w:sz w:val="20"/>
                <w:szCs w:val="20"/>
              </w:rPr>
              <w:t>图像采集效率</w:t>
            </w:r>
            <w:r w:rsidRPr="003208B7">
              <w:rPr>
                <w:rFonts w:ascii="仿宋" w:eastAsia="仿宋" w:hAnsi="仿宋"/>
                <w:color w:val="000000" w:themeColor="text1"/>
                <w:spacing w:val="-5"/>
                <w:sz w:val="20"/>
                <w:szCs w:val="20"/>
              </w:rPr>
              <w:t xml:space="preserve">90% </w:t>
            </w:r>
            <w:r w:rsidRPr="003208B7">
              <w:rPr>
                <w:rFonts w:ascii="仿宋" w:eastAsia="仿宋" w:hAnsi="仿宋" w:hint="eastAsia"/>
                <w:color w:val="000000" w:themeColor="text1"/>
                <w:spacing w:val="-5"/>
                <w:sz w:val="20"/>
                <w:szCs w:val="20"/>
              </w:rPr>
              <w:t>以上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64B45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  <w:lang w:eastAsia="zh-CN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26977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无</w:t>
            </w:r>
          </w:p>
        </w:tc>
      </w:tr>
      <w:tr w:rsidR="003208B7" w:rsidRPr="0089603F" w14:paraId="5C1838D2" w14:textId="77777777" w:rsidTr="00A60F7B">
        <w:trPr>
          <w:trHeight w:hRule="exact" w:val="6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D1F6F" w14:textId="53D88A08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/>
                <w:spacing w:val="-2"/>
                <w:sz w:val="20"/>
                <w:szCs w:val="20"/>
              </w:rPr>
              <w:t>美国</w:t>
            </w:r>
            <w:proofErr w:type="spellStart"/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micromeritics</w:t>
            </w:r>
            <w:proofErr w:type="spellEnd"/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BB9C6" w14:textId="248EA85D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放大倍数范围宽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893F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DEB8" w14:textId="76630F55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无自动对焦功能</w:t>
            </w:r>
          </w:p>
        </w:tc>
      </w:tr>
      <w:tr w:rsidR="003208B7" w:rsidRPr="0089603F" w14:paraId="5F645B5E" w14:textId="77777777" w:rsidTr="00A60F7B">
        <w:trPr>
          <w:trHeight w:hRule="exact" w:val="6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BEF6" w14:textId="2D7C4C5D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美国</w:t>
            </w:r>
            <w:proofErr w:type="spellStart"/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microtrac</w:t>
            </w:r>
            <w:proofErr w:type="spellEnd"/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2A1B6" w14:textId="60FCB4CE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测定粒径范围高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7B63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6E9D" w14:textId="72EC8CD1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  <w:lang w:eastAsia="zh-CN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市场占有率低，售后跟不上</w:t>
            </w:r>
          </w:p>
        </w:tc>
      </w:tr>
      <w:tr w:rsidR="003208B7" w:rsidRPr="0089603F" w14:paraId="5960F430" w14:textId="77777777" w:rsidTr="009D1F08">
        <w:trPr>
          <w:trHeight w:hRule="exact" w:val="505"/>
          <w:jc w:val="center"/>
        </w:trPr>
        <w:tc>
          <w:tcPr>
            <w:tcW w:w="101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2194A" w14:textId="77777777" w:rsidR="003208B7" w:rsidRPr="003208B7" w:rsidRDefault="003208B7" w:rsidP="003208B7">
            <w:pPr>
              <w:pStyle w:val="Other1"/>
              <w:spacing w:after="0" w:line="425" w:lineRule="exact"/>
              <w:ind w:firstLine="0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/>
                <w:sz w:val="20"/>
                <w:szCs w:val="20"/>
              </w:rPr>
              <w:t>同类项目所用仪器设备的优缺点（提供不少于三家制造公司的仪器设备）</w:t>
            </w:r>
          </w:p>
        </w:tc>
      </w:tr>
      <w:tr w:rsidR="003208B7" w:rsidRPr="0089603F" w14:paraId="22649373" w14:textId="77777777" w:rsidTr="003F0FB0">
        <w:trPr>
          <w:trHeight w:hRule="exact" w:val="6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4BA23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5D5B7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90D7" w14:textId="77FA4415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pacing w:val="-2"/>
                <w:sz w:val="20"/>
                <w:szCs w:val="20"/>
              </w:rPr>
              <w:t>岛津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iSpect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C4788" w14:textId="0C3D3463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Micromeritics</w:t>
            </w:r>
          </w:p>
          <w:p w14:paraId="7E756D41" w14:textId="230F63A1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Particle Insight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CBB" w14:textId="77777777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microtrac</w:t>
            </w:r>
            <w:r w:rsidRPr="003208B7">
              <w:rPr>
                <w:rFonts w:ascii="仿宋" w:eastAsia="仿宋" w:hAnsi="仿宋"/>
                <w:color w:val="000000"/>
                <w:sz w:val="20"/>
                <w:szCs w:val="20"/>
              </w:rPr>
              <w:t xml:space="preserve"> </w:t>
            </w:r>
          </w:p>
          <w:p w14:paraId="79ED5F0E" w14:textId="377E53B6" w:rsidR="003208B7" w:rsidRPr="003208B7" w:rsidRDefault="003208B7" w:rsidP="003208B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PartAn</w:t>
            </w:r>
          </w:p>
        </w:tc>
      </w:tr>
      <w:tr w:rsidR="003208B7" w:rsidRPr="0089603F" w14:paraId="1946E0B5" w14:textId="77777777" w:rsidTr="0058601A">
        <w:trPr>
          <w:trHeight w:val="6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963E5" w14:textId="77777777" w:rsidR="003208B7" w:rsidRPr="003208B7" w:rsidRDefault="003208B7" w:rsidP="003208B7">
            <w:pPr>
              <w:pStyle w:val="Other1"/>
              <w:spacing w:after="0" w:line="324" w:lineRule="exact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主要性能</w:t>
            </w:r>
          </w:p>
          <w:p w14:paraId="56F9F5BF" w14:textId="77777777" w:rsidR="003208B7" w:rsidRPr="003208B7" w:rsidRDefault="003208B7" w:rsidP="003208B7">
            <w:pPr>
              <w:pStyle w:val="Other1"/>
              <w:spacing w:after="0" w:line="324" w:lineRule="exact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58B02" w14:textId="1DF1A7C9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测定粒径范围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B7C6" w14:textId="03490D12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5 ~ 100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μ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0FDEC" w14:textId="6D845C39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10 ~ 800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μ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1C26" w14:textId="794C48F2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5 ~ 1500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μ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m</w:t>
            </w:r>
          </w:p>
        </w:tc>
      </w:tr>
      <w:tr w:rsidR="003208B7" w:rsidRPr="0089603F" w14:paraId="3E7B9EE9" w14:textId="77777777" w:rsidTr="00A60F7B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73FD1" w14:textId="77777777" w:rsidR="003208B7" w:rsidRPr="003208B7" w:rsidRDefault="003208B7" w:rsidP="003208B7">
            <w:pPr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81A61" w14:textId="5B5106BE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显微镜放大倍数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8D2D5" w14:textId="1132B733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4x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CF5D2" w14:textId="71BE1B69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2/5/10 </w:t>
            </w:r>
            <w:proofErr w:type="gramStart"/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倍</w:t>
            </w:r>
            <w:proofErr w:type="gram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34DB" w14:textId="0587E860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未公开</w:t>
            </w:r>
          </w:p>
        </w:tc>
      </w:tr>
      <w:tr w:rsidR="003208B7" w:rsidRPr="0089603F" w14:paraId="08F8CF12" w14:textId="77777777" w:rsidTr="0058601A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8C131C" w14:textId="77777777" w:rsidR="003208B7" w:rsidRPr="003208B7" w:rsidRDefault="003208B7" w:rsidP="003208B7">
            <w:pPr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5D112" w14:textId="1D4DE315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pacing w:val="-2"/>
                <w:sz w:val="20"/>
                <w:szCs w:val="20"/>
              </w:rPr>
              <w:t>图像采集效率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6659" w14:textId="4099C434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pacing w:val="-5"/>
                <w:sz w:val="20"/>
                <w:szCs w:val="20"/>
              </w:rPr>
              <w:t xml:space="preserve">90% </w:t>
            </w:r>
            <w:r w:rsidRPr="003208B7">
              <w:rPr>
                <w:rFonts w:ascii="仿宋" w:eastAsia="仿宋" w:hAnsi="仿宋" w:hint="eastAsia"/>
                <w:color w:val="000000" w:themeColor="text1"/>
                <w:spacing w:val="-5"/>
                <w:sz w:val="20"/>
                <w:szCs w:val="20"/>
              </w:rPr>
              <w:t>以上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D30C2" w14:textId="79E88CB3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pacing w:val="-2"/>
                <w:sz w:val="20"/>
                <w:szCs w:val="20"/>
              </w:rPr>
              <w:t>不超过</w:t>
            </w:r>
            <w:r w:rsidRPr="003208B7">
              <w:rPr>
                <w:rFonts w:ascii="仿宋" w:eastAsia="仿宋" w:hAnsi="仿宋"/>
                <w:color w:val="000000" w:themeColor="text1"/>
                <w:spacing w:val="-2"/>
                <w:sz w:val="20"/>
                <w:szCs w:val="20"/>
              </w:rPr>
              <w:t>10%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466CE" w14:textId="3DBA11A1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pacing w:val="-5"/>
                <w:sz w:val="20"/>
                <w:szCs w:val="20"/>
              </w:rPr>
              <w:t>不超过</w:t>
            </w:r>
            <w:r w:rsidRPr="003208B7">
              <w:rPr>
                <w:rFonts w:ascii="仿宋" w:eastAsia="仿宋" w:hAnsi="仿宋"/>
                <w:color w:val="000000" w:themeColor="text1"/>
                <w:spacing w:val="-5"/>
                <w:sz w:val="20"/>
                <w:szCs w:val="20"/>
              </w:rPr>
              <w:t>10%</w:t>
            </w:r>
          </w:p>
        </w:tc>
      </w:tr>
      <w:tr w:rsidR="003208B7" w:rsidRPr="0089603F" w14:paraId="1A801071" w14:textId="77777777" w:rsidTr="00A60F7B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C9E09" w14:textId="77777777" w:rsidR="003208B7" w:rsidRPr="003208B7" w:rsidRDefault="003208B7" w:rsidP="003208B7">
            <w:pPr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79775" w14:textId="2DE01E47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数量浓度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A5BB1" w14:textId="7AEF202C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精确度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C5643" w14:textId="4B44AE0C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(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参考值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34B1" w14:textId="3C397905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(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参考值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)</w:t>
            </w:r>
          </w:p>
        </w:tc>
      </w:tr>
      <w:tr w:rsidR="003208B7" w:rsidRPr="0089603F" w14:paraId="0D94506E" w14:textId="77777777" w:rsidTr="00A60F7B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0383FD" w14:textId="77777777" w:rsidR="003208B7" w:rsidRPr="003208B7" w:rsidRDefault="003208B7" w:rsidP="003208B7">
            <w:pPr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B4416" w14:textId="4B143E23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单次测量样品需要量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FC096" w14:textId="6E959EFD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最少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0.05 mL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BDDA3" w14:textId="3714D2BA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最少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30 mL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270F5" w14:textId="50D7A3C8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最少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50 mL</w:t>
            </w:r>
          </w:p>
        </w:tc>
      </w:tr>
      <w:tr w:rsidR="003208B7" w:rsidRPr="0089603F" w14:paraId="4510FD77" w14:textId="77777777" w:rsidTr="00A60F7B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DE553F" w14:textId="77777777" w:rsidR="003208B7" w:rsidRPr="003208B7" w:rsidRDefault="003208B7" w:rsidP="003208B7">
            <w:pPr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8F7BA" w14:textId="47AA56DA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自动对焦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469FF" w14:textId="1F3DD646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自动对焦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(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无需标准样品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323CC" w14:textId="41715077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No Manual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F984" w14:textId="3AC44368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自动对焦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(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需要标准样品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)</w:t>
            </w:r>
          </w:p>
        </w:tc>
      </w:tr>
      <w:tr w:rsidR="003208B7" w:rsidRPr="0089603F" w14:paraId="67175DBB" w14:textId="77777777" w:rsidTr="00A60F7B">
        <w:trPr>
          <w:trHeight w:val="667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8A722" w14:textId="77777777" w:rsidR="003208B7" w:rsidRPr="003208B7" w:rsidRDefault="003208B7" w:rsidP="003208B7">
            <w:pPr>
              <w:rPr>
                <w:rFonts w:ascii="仿宋" w:eastAsia="仿宋" w:hAnsi="仿宋" w:cs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08238" w14:textId="6C99A18D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单次测量时间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06107" w14:textId="3018BAC0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2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分钟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73CB5" w14:textId="6F8D1710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1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分钟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0CCA3" w14:textId="1EE526B9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1 </w:t>
            </w:r>
            <w:r w:rsidRPr="003208B7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分钟</w:t>
            </w:r>
            <w:r w:rsidRPr="003208B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 xml:space="preserve"> ~</w:t>
            </w:r>
          </w:p>
        </w:tc>
      </w:tr>
      <w:tr w:rsidR="003208B7" w:rsidRPr="0089603F" w14:paraId="625EC3C8" w14:textId="77777777" w:rsidTr="00A60F7B">
        <w:trPr>
          <w:trHeight w:val="6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0467A" w14:textId="77777777" w:rsidR="003208B7" w:rsidRPr="003208B7" w:rsidRDefault="003208B7" w:rsidP="003208B7">
            <w:pPr>
              <w:pStyle w:val="Other1"/>
              <w:spacing w:after="0" w:line="313" w:lineRule="exact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市场情况</w:t>
            </w:r>
          </w:p>
          <w:p w14:paraId="5B2C7C87" w14:textId="77777777" w:rsidR="003208B7" w:rsidRPr="003208B7" w:rsidRDefault="003208B7" w:rsidP="003208B7">
            <w:pPr>
              <w:pStyle w:val="Other1"/>
              <w:spacing w:after="0" w:line="313" w:lineRule="exact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和价格比</w:t>
            </w:r>
          </w:p>
          <w:p w14:paraId="54B22873" w14:textId="77777777" w:rsidR="003208B7" w:rsidRPr="003208B7" w:rsidRDefault="003208B7" w:rsidP="003208B7">
            <w:pPr>
              <w:pStyle w:val="Other1"/>
              <w:spacing w:after="0" w:line="313" w:lineRule="exact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6A2B6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市场情况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CFF47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研发机构使用较多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A147F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部分</w:t>
            </w: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  <w:lang w:eastAsia="zh-CN"/>
              </w:rPr>
              <w:t>高校</w:t>
            </w: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使用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0D79" w14:textId="77777777" w:rsidR="003208B7" w:rsidRPr="003208B7" w:rsidRDefault="003208B7" w:rsidP="003208B7">
            <w:pPr>
              <w:pStyle w:val="Other1"/>
              <w:spacing w:after="0" w:line="240" w:lineRule="auto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使用单位很少</w:t>
            </w:r>
          </w:p>
        </w:tc>
      </w:tr>
      <w:tr w:rsidR="003208B7" w:rsidRPr="0089603F" w14:paraId="13962092" w14:textId="77777777" w:rsidTr="00A60F7B">
        <w:trPr>
          <w:trHeight w:hRule="exact" w:val="11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F0EC2" w14:textId="77777777" w:rsidR="003208B7" w:rsidRPr="003208B7" w:rsidRDefault="003208B7" w:rsidP="003208B7">
            <w:pPr>
              <w:pStyle w:val="Other1"/>
              <w:spacing w:after="0" w:line="240" w:lineRule="exact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售后服务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62049" w14:textId="77777777" w:rsidR="003208B7" w:rsidRPr="003208B7" w:rsidRDefault="003208B7" w:rsidP="003208B7">
            <w:pPr>
              <w:pStyle w:val="Other1"/>
              <w:spacing w:after="0" w:line="240" w:lineRule="exact"/>
              <w:ind w:firstLine="0"/>
              <w:jc w:val="center"/>
              <w:rPr>
                <w:rFonts w:ascii="仿宋" w:eastAsia="仿宋" w:hAnsi="仿宋" w:cs="仿宋_GB2312"/>
                <w:color w:val="000000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技术支持及</w:t>
            </w:r>
          </w:p>
          <w:p w14:paraId="3F317B5E" w14:textId="77777777" w:rsidR="003208B7" w:rsidRPr="003208B7" w:rsidRDefault="003208B7" w:rsidP="003208B7">
            <w:pPr>
              <w:pStyle w:val="Other1"/>
              <w:spacing w:after="0" w:line="240" w:lineRule="exact"/>
              <w:ind w:firstLine="0"/>
              <w:jc w:val="center"/>
              <w:rPr>
                <w:rFonts w:ascii="仿宋" w:eastAsia="仿宋" w:hAnsi="仿宋" w:cs="仿宋_GB2312"/>
                <w:sz w:val="20"/>
                <w:szCs w:val="20"/>
              </w:rPr>
            </w:pPr>
            <w:r w:rsidRPr="003208B7">
              <w:rPr>
                <w:rFonts w:ascii="仿宋" w:eastAsia="仿宋" w:hAnsi="仿宋" w:cs="仿宋_GB2312" w:hint="eastAsia"/>
                <w:color w:val="000000"/>
                <w:sz w:val="20"/>
                <w:szCs w:val="20"/>
              </w:rPr>
              <w:t>服务响应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69FBC" w14:textId="77777777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宋体"/>
                <w:kern w:val="0"/>
                <w:sz w:val="20"/>
                <w:szCs w:val="20"/>
              </w:rPr>
              <w:t>厦门、福州均常驻工程师可以提供本地化服务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AE04A" w14:textId="77777777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无本地化服务，需从上海支援，成本高，响应慢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4D6E" w14:textId="77777777" w:rsidR="003208B7" w:rsidRPr="003208B7" w:rsidRDefault="003208B7" w:rsidP="003208B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3208B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无本地化服务，需从上海支援，成本高，响应慢</w:t>
            </w:r>
          </w:p>
        </w:tc>
      </w:tr>
    </w:tbl>
    <w:p w14:paraId="016C4FF1" w14:textId="77777777" w:rsidR="002E4269" w:rsidRPr="0089603F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四、条件准备情况</w:t>
      </w:r>
    </w:p>
    <w:p w14:paraId="33438E4B" w14:textId="0B85C52B" w:rsidR="002E4269" w:rsidRPr="0089603F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实验室具备电（220V单相电源）、通风（排气系统）、实验平台（尺寸大于</w:t>
      </w:r>
      <w:r w:rsidR="003208B7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A60F7B">
        <w:rPr>
          <w:rFonts w:ascii="仿宋" w:eastAsia="仿宋" w:hAnsi="仿宋" w:cs="仿宋_GB2312"/>
          <w:color w:val="000000"/>
          <w:sz w:val="32"/>
          <w:szCs w:val="32"/>
        </w:rPr>
        <w:t>0</w:t>
      </w: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x </w:t>
      </w:r>
      <w:r w:rsidR="0089603F">
        <w:rPr>
          <w:rFonts w:ascii="仿宋" w:eastAsia="仿宋" w:hAnsi="仿宋" w:cs="仿宋_GB2312"/>
          <w:color w:val="000000"/>
          <w:sz w:val="32"/>
          <w:szCs w:val="32"/>
        </w:rPr>
        <w:t>70</w:t>
      </w: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cm, 可以承</w:t>
      </w:r>
      <w:r w:rsidR="003208B7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="0089603F">
        <w:rPr>
          <w:rFonts w:ascii="仿宋" w:eastAsia="仿宋" w:hAnsi="仿宋" w:cs="仿宋_GB2312"/>
          <w:color w:val="000000"/>
          <w:sz w:val="32"/>
          <w:szCs w:val="32"/>
        </w:rPr>
        <w:t>0</w:t>
      </w: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Kg以上的设备）等安装条件。</w:t>
      </w:r>
    </w:p>
    <w:p w14:paraId="163817E5" w14:textId="77777777" w:rsidR="002E4269" w:rsidRPr="0089603F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五、可能存在的安全性问题</w:t>
      </w:r>
    </w:p>
    <w:p w14:paraId="00F96FA2" w14:textId="77777777" w:rsidR="002E4269" w:rsidRPr="0089603F" w:rsidRDefault="00016DE1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9603F">
        <w:rPr>
          <w:rFonts w:ascii="仿宋" w:eastAsia="仿宋" w:hAnsi="仿宋" w:cs="仿宋_GB2312" w:hint="eastAsia"/>
          <w:color w:val="000000"/>
          <w:sz w:val="32"/>
          <w:szCs w:val="32"/>
        </w:rPr>
        <w:t>该设备使用过程无放射物产生，可能产生少量废气可由通风净化系统处理，不会产生安全性问题。</w:t>
      </w:r>
    </w:p>
    <w:sectPr w:rsidR="002E4269" w:rsidRPr="0089603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881E" w14:textId="77777777" w:rsidR="006B0CD6" w:rsidRDefault="006B0CD6">
      <w:r>
        <w:separator/>
      </w:r>
    </w:p>
  </w:endnote>
  <w:endnote w:type="continuationSeparator" w:id="0">
    <w:p w14:paraId="4315320A" w14:textId="77777777" w:rsidR="006B0CD6" w:rsidRDefault="006B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4C39" w14:textId="77777777" w:rsidR="002E4269" w:rsidRDefault="00016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C6DCAD" wp14:editId="4B0CBAA1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08DE7" w14:textId="77777777" w:rsidR="002E4269" w:rsidRDefault="00016DE1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C6DCAD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42608DE7" w14:textId="77777777" w:rsidR="002E4269" w:rsidRDefault="00016DE1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F59DA" w14:textId="77777777" w:rsidR="006B0CD6" w:rsidRDefault="006B0CD6">
      <w:r>
        <w:separator/>
      </w:r>
    </w:p>
  </w:footnote>
  <w:footnote w:type="continuationSeparator" w:id="0">
    <w:p w14:paraId="60BA6E79" w14:textId="77777777" w:rsidR="006B0CD6" w:rsidRDefault="006B0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15EFE"/>
    <w:rsid w:val="00016DE1"/>
    <w:rsid w:val="0004008B"/>
    <w:rsid w:val="00052A08"/>
    <w:rsid w:val="000728D9"/>
    <w:rsid w:val="00261C6A"/>
    <w:rsid w:val="002B1651"/>
    <w:rsid w:val="002E4269"/>
    <w:rsid w:val="003208B7"/>
    <w:rsid w:val="00381E33"/>
    <w:rsid w:val="004E5283"/>
    <w:rsid w:val="005F40F3"/>
    <w:rsid w:val="006B0CD6"/>
    <w:rsid w:val="00841167"/>
    <w:rsid w:val="0089603F"/>
    <w:rsid w:val="009D1F08"/>
    <w:rsid w:val="009E4FB7"/>
    <w:rsid w:val="00A51274"/>
    <w:rsid w:val="00A60F7B"/>
    <w:rsid w:val="00C13CB4"/>
    <w:rsid w:val="00C246D7"/>
    <w:rsid w:val="00C86402"/>
    <w:rsid w:val="00DF4917"/>
    <w:rsid w:val="00E70E20"/>
    <w:rsid w:val="00EB7E60"/>
    <w:rsid w:val="00EE4578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E5606"/>
  <w15:docId w15:val="{2D4718DE-AB0B-4BAD-8252-3DC1919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a6"/>
    <w:rsid w:val="00C1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3C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13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13CB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page number"/>
    <w:basedOn w:val="a0"/>
    <w:uiPriority w:val="99"/>
    <w:rsid w:val="009D1F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86150</cp:lastModifiedBy>
  <cp:revision>12</cp:revision>
  <dcterms:created xsi:type="dcterms:W3CDTF">2021-12-06T02:49:00Z</dcterms:created>
  <dcterms:modified xsi:type="dcterms:W3CDTF">2022-04-20T02:47:00Z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