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93939"/>
          <w:spacing w:val="0"/>
          <w:sz w:val="36"/>
          <w:szCs w:val="36"/>
          <w:shd w:val="clear" w:fill="FFFFFF"/>
        </w:rPr>
      </w:pPr>
      <w:r>
        <w:rPr>
          <w:rFonts w:hint="eastAsia" w:ascii="方正小标宋简体" w:hAnsi="方正小标宋简体" w:eastAsia="方正小标宋简体" w:cs="方正小标宋简体"/>
          <w:b/>
          <w:bCs/>
          <w:color w:val="000000"/>
          <w:sz w:val="36"/>
          <w:szCs w:val="36"/>
          <w:lang w:val="en-US" w:eastAsia="zh-CN"/>
        </w:rPr>
        <w:t>清源</w:t>
      </w:r>
      <w:r>
        <w:rPr>
          <w:rFonts w:hint="eastAsia" w:ascii="方正小标宋简体" w:hAnsi="方正小标宋简体" w:eastAsia="方正小标宋简体" w:cs="方正小标宋简体"/>
          <w:b/>
          <w:bCs/>
          <w:color w:val="000000"/>
          <w:sz w:val="36"/>
          <w:szCs w:val="36"/>
        </w:rPr>
        <w:t>创新实验室</w:t>
      </w:r>
      <w:r>
        <w:rPr>
          <w:rFonts w:hint="eastAsia" w:ascii="方正小标宋简体" w:hAnsi="方正小标宋简体" w:eastAsia="方正小标宋简体" w:cs="方正小标宋简体"/>
          <w:b/>
          <w:bCs/>
          <w:color w:val="000000"/>
          <w:sz w:val="36"/>
          <w:szCs w:val="36"/>
          <w:lang w:val="en-US" w:eastAsia="zh-CN"/>
        </w:rPr>
        <w:t>质谱仪</w:t>
      </w:r>
      <w:r>
        <w:rPr>
          <w:rFonts w:hint="eastAsia" w:ascii="方正小标宋简体" w:hAnsi="方正小标宋简体" w:eastAsia="方正小标宋简体" w:cs="方正小标宋简体"/>
          <w:b/>
          <w:bCs/>
          <w:color w:val="000000"/>
          <w:sz w:val="36"/>
          <w:szCs w:val="36"/>
        </w:rPr>
        <w:t>采购需求概况</w:t>
      </w:r>
    </w:p>
    <w:p>
      <w:pPr>
        <w:widowControl/>
        <w:snapToGrid w:val="0"/>
        <w:spacing w:line="276" w:lineRule="auto"/>
        <w:jc w:val="left"/>
        <w:rPr>
          <w:rFonts w:cs="宋体" w:asciiTheme="minorEastAsia" w:hAnsiTheme="minorEastAsia"/>
          <w:color w:val="auto"/>
          <w:kern w:val="0"/>
          <w:sz w:val="24"/>
          <w:szCs w:val="24"/>
        </w:rPr>
      </w:pPr>
      <w:r>
        <w:rPr>
          <w:rFonts w:cs="宋体" w:asciiTheme="minorEastAsia" w:hAnsiTheme="minorEastAsia"/>
          <w:color w:val="auto"/>
          <w:kern w:val="0"/>
          <w:sz w:val="24"/>
          <w:szCs w:val="24"/>
        </w:rPr>
        <w:t>一、项目概况（采购标的）</w:t>
      </w:r>
    </w:p>
    <w:p>
      <w:pPr>
        <w:widowControl/>
        <w:snapToGrid w:val="0"/>
        <w:spacing w:line="276" w:lineRule="auto"/>
        <w:ind w:firstLine="369"/>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本项目为质谱系统采购</w:t>
      </w:r>
      <w:r>
        <w:rPr>
          <w:rFonts w:hint="eastAsia" w:cs="宋体" w:asciiTheme="minorEastAsia" w:hAnsiTheme="minorEastAsia"/>
          <w:color w:val="auto"/>
          <w:kern w:val="0"/>
          <w:sz w:val="24"/>
          <w:szCs w:val="24"/>
          <w:lang w:eastAsia="zh-CN"/>
        </w:rPr>
        <w:t>。</w:t>
      </w:r>
    </w:p>
    <w:p>
      <w:pPr>
        <w:widowControl/>
        <w:snapToGrid w:val="0"/>
        <w:spacing w:line="276" w:lineRule="auto"/>
        <w:jc w:val="left"/>
        <w:rPr>
          <w:rFonts w:cs="宋体" w:asciiTheme="minorEastAsia" w:hAnsiTheme="minorEastAsia"/>
          <w:color w:val="auto"/>
          <w:kern w:val="0"/>
          <w:sz w:val="24"/>
          <w:szCs w:val="24"/>
        </w:rPr>
      </w:pPr>
      <w:r>
        <w:rPr>
          <w:rFonts w:cs="宋体" w:asciiTheme="minorEastAsia" w:hAnsiTheme="minorEastAsia"/>
          <w:color w:val="auto"/>
          <w:kern w:val="0"/>
          <w:sz w:val="24"/>
          <w:szCs w:val="24"/>
        </w:rPr>
        <w:t>二、技术和服务要求</w:t>
      </w:r>
    </w:p>
    <w:p>
      <w:pPr>
        <w:pStyle w:val="5"/>
        <w:widowControl w:val="0"/>
        <w:numPr>
          <w:ilvl w:val="0"/>
          <w:numId w:val="1"/>
        </w:numPr>
        <w:adjustRightInd w:val="0"/>
        <w:snapToGrid w:val="0"/>
        <w:spacing w:before="0" w:beforeAutospacing="0" w:after="0" w:afterAutospacing="0" w:line="276" w:lineRule="auto"/>
        <w:ind w:left="0" w:firstLine="482" w:firstLineChars="200"/>
        <w:jc w:val="both"/>
        <w:rPr>
          <w:rFonts w:asciiTheme="minorEastAsia" w:hAnsiTheme="minorEastAsia" w:eastAsiaTheme="minorEastAsia"/>
          <w:b/>
          <w:color w:val="auto"/>
        </w:rPr>
      </w:pPr>
      <w:r>
        <w:rPr>
          <w:rFonts w:hint="eastAsia" w:asciiTheme="minorEastAsia" w:hAnsiTheme="minorEastAsia" w:eastAsiaTheme="minorEastAsia"/>
          <w:b/>
          <w:color w:val="auto"/>
        </w:rPr>
        <w:t>★采购清单</w:t>
      </w:r>
    </w:p>
    <w:p>
      <w:pPr>
        <w:pStyle w:val="5"/>
        <w:widowControl w:val="0"/>
        <w:adjustRightInd w:val="0"/>
        <w:snapToGrid w:val="0"/>
        <w:spacing w:before="0" w:beforeAutospacing="0" w:after="0" w:afterAutospacing="0" w:line="276" w:lineRule="auto"/>
        <w:ind w:firstLine="482" w:firstLineChars="200"/>
        <w:jc w:val="both"/>
        <w:rPr>
          <w:rFonts w:asciiTheme="minorEastAsia" w:hAnsiTheme="minorEastAsia" w:eastAsiaTheme="minorEastAsia"/>
          <w:b/>
          <w:color w:val="auto"/>
        </w:rPr>
      </w:pPr>
      <w:r>
        <w:rPr>
          <w:rFonts w:hint="eastAsia" w:asciiTheme="minorEastAsia" w:hAnsiTheme="minorEastAsia" w:eastAsiaTheme="minorEastAsia"/>
          <w:b/>
          <w:color w:val="auto"/>
        </w:rPr>
        <w:t>1、标的情况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9"/>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8"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采购标的</w:t>
            </w:r>
          </w:p>
        </w:tc>
        <w:tc>
          <w:tcPr>
            <w:tcW w:w="831"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单位</w:t>
            </w:r>
          </w:p>
        </w:tc>
        <w:tc>
          <w:tcPr>
            <w:tcW w:w="831"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8" w:type="pct"/>
            <w:vAlign w:val="center"/>
          </w:tcPr>
          <w:p>
            <w:pPr>
              <w:adjustRightInd w:val="0"/>
              <w:snapToGrid w:val="0"/>
              <w:spacing w:line="276" w:lineRule="auto"/>
              <w:jc w:val="center"/>
              <w:rPr>
                <w:rFonts w:asciiTheme="minorEastAsia" w:hAnsiTheme="minorEastAsia"/>
                <w:color w:val="auto"/>
                <w:sz w:val="24"/>
                <w:szCs w:val="24"/>
              </w:rPr>
            </w:pPr>
            <w:r>
              <w:rPr>
                <w:rFonts w:hint="eastAsia" w:cs="宋体" w:asciiTheme="minorEastAsia" w:hAnsiTheme="minorEastAsia"/>
                <w:color w:val="auto"/>
                <w:sz w:val="24"/>
                <w:szCs w:val="24"/>
              </w:rPr>
              <w:t>质谱系统</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套</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1</w:t>
            </w:r>
          </w:p>
        </w:tc>
      </w:tr>
    </w:tbl>
    <w:p>
      <w:pPr>
        <w:pStyle w:val="5"/>
        <w:widowControl w:val="0"/>
        <w:adjustRightInd w:val="0"/>
        <w:snapToGrid w:val="0"/>
        <w:spacing w:before="0" w:beforeAutospacing="0" w:after="0" w:afterAutospacing="0" w:line="276" w:lineRule="auto"/>
        <w:jc w:val="both"/>
        <w:rPr>
          <w:rFonts w:asciiTheme="minorEastAsia" w:hAnsiTheme="minorEastAsia" w:eastAsiaTheme="minorEastAsia"/>
          <w:b/>
          <w:color w:val="auto"/>
        </w:rPr>
      </w:pPr>
      <w:r>
        <w:rPr>
          <w:rFonts w:hint="eastAsia" w:asciiTheme="minorEastAsia" w:hAnsiTheme="minorEastAsia" w:eastAsiaTheme="minorEastAsia"/>
          <w:b/>
          <w:color w:val="auto"/>
        </w:rPr>
        <w:t>2、主要配置</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628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序号</w:t>
            </w:r>
          </w:p>
        </w:tc>
        <w:tc>
          <w:tcPr>
            <w:tcW w:w="3688"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明细</w:t>
            </w:r>
          </w:p>
        </w:tc>
        <w:tc>
          <w:tcPr>
            <w:tcW w:w="831" w:type="pct"/>
            <w:vAlign w:val="center"/>
          </w:tcPr>
          <w:p>
            <w:pPr>
              <w:adjustRightInd w:val="0"/>
              <w:snapToGrid w:val="0"/>
              <w:spacing w:line="276" w:lineRule="auto"/>
              <w:jc w:val="center"/>
              <w:rPr>
                <w:rFonts w:asciiTheme="minorEastAsia" w:hAnsiTheme="minorEastAsia"/>
                <w:b/>
                <w:color w:val="auto"/>
                <w:sz w:val="24"/>
                <w:szCs w:val="24"/>
              </w:rPr>
            </w:pPr>
            <w:r>
              <w:rPr>
                <w:rFonts w:hint="eastAsia" w:asciiTheme="minorEastAsia" w:hAnsiTheme="minorEastAsia"/>
                <w:b/>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质谱仪主机一台，包含离子源，四极杆质量分析器和法拉第杯</w:t>
            </w:r>
            <w:r>
              <w:rPr>
                <w:rFonts w:asciiTheme="minorEastAsia" w:hAnsiTheme="minorEastAsia"/>
                <w:color w:val="auto"/>
                <w:sz w:val="24"/>
                <w:szCs w:val="24"/>
              </w:rPr>
              <w:t>/</w:t>
            </w:r>
            <w:r>
              <w:rPr>
                <w:rFonts w:hint="eastAsia" w:asciiTheme="minorEastAsia" w:hAnsiTheme="minorEastAsia"/>
                <w:color w:val="auto"/>
                <w:sz w:val="24"/>
                <w:szCs w:val="24"/>
              </w:rPr>
              <w:t>电子倍增器双检测</w:t>
            </w:r>
            <w:bookmarkStart w:id="0" w:name="_GoBack"/>
            <w:bookmarkEnd w:id="0"/>
            <w:r>
              <w:rPr>
                <w:rFonts w:hint="eastAsia" w:asciiTheme="minorEastAsia" w:hAnsiTheme="minorEastAsia"/>
                <w:color w:val="auto"/>
                <w:sz w:val="24"/>
                <w:szCs w:val="24"/>
              </w:rPr>
              <w:t>器；真空系统，多电极接口的电化学池，原位膜分离进样等</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bCs/>
                <w:color w:val="auto"/>
                <w:sz w:val="24"/>
                <w:szCs w:val="24"/>
              </w:rPr>
              <w:t xml:space="preserve">QIC </w:t>
            </w:r>
            <w:r>
              <w:rPr>
                <w:rFonts w:hint="eastAsia" w:asciiTheme="minorEastAsia" w:hAnsiTheme="minorEastAsia"/>
                <w:bCs/>
                <w:color w:val="auto"/>
                <w:sz w:val="24"/>
                <w:szCs w:val="24"/>
              </w:rPr>
              <w:t>快速毛细管取样系统</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气体分离分析系统</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电化学测试系统</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数据分析处理软件</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QIC Inlet</w:t>
            </w:r>
            <w:r>
              <w:rPr>
                <w:rFonts w:hint="eastAsia" w:asciiTheme="minorEastAsia" w:hAnsiTheme="minorEastAsia"/>
                <w:color w:val="auto"/>
                <w:sz w:val="24"/>
                <w:szCs w:val="24"/>
              </w:rPr>
              <w:t>过滤器和配套滤芯</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毛细管备件</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5根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Type A Cell</w:t>
            </w:r>
            <w:r>
              <w:rPr>
                <w:rFonts w:hint="eastAsia" w:asciiTheme="minorEastAsia" w:hAnsiTheme="minorEastAsia"/>
                <w:color w:val="auto"/>
                <w:sz w:val="24"/>
                <w:szCs w:val="24"/>
              </w:rPr>
              <w:t>备件包</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 xml:space="preserve">Type B Cell </w:t>
            </w:r>
            <w:r>
              <w:rPr>
                <w:rFonts w:hint="eastAsia" w:asciiTheme="minorEastAsia" w:hAnsiTheme="minorEastAsia"/>
                <w:color w:val="auto"/>
                <w:sz w:val="24"/>
                <w:szCs w:val="24"/>
              </w:rPr>
              <w:t>备件包</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type A</w:t>
            </w:r>
            <w:r>
              <w:rPr>
                <w:rFonts w:hint="eastAsia" w:asciiTheme="minorEastAsia" w:hAnsiTheme="minorEastAsia"/>
                <w:color w:val="auto"/>
                <w:sz w:val="24"/>
                <w:szCs w:val="24"/>
              </w:rPr>
              <w:t>对电极铂丝</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type B</w:t>
            </w:r>
            <w:r>
              <w:rPr>
                <w:rFonts w:hint="eastAsia" w:asciiTheme="minorEastAsia" w:hAnsiTheme="minorEastAsia"/>
                <w:color w:val="auto"/>
                <w:sz w:val="24"/>
                <w:szCs w:val="24"/>
              </w:rPr>
              <w:t>对电极铂丝</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对电极铂纱布</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对铜工作电极</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对镍工作电极</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对镀金工作电极</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 xml:space="preserve">CF35 </w:t>
            </w:r>
            <w:r>
              <w:rPr>
                <w:rFonts w:hint="eastAsia" w:asciiTheme="minorEastAsia" w:hAnsiTheme="minorEastAsia"/>
                <w:color w:val="auto"/>
                <w:sz w:val="24"/>
                <w:szCs w:val="24"/>
              </w:rPr>
              <w:t>铜垫圈</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温度转换模块，热催化，质谱仪同步输出温度信号</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电化学工作站电压信号输出数据线</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备用分子漏</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备用离子源灯丝</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1" w:type="pct"/>
            <w:vAlign w:val="center"/>
          </w:tcPr>
          <w:p>
            <w:pPr>
              <w:widowControl/>
              <w:numPr>
                <w:ilvl w:val="0"/>
                <w:numId w:val="2"/>
              </w:numPr>
              <w:adjustRightInd w:val="0"/>
              <w:snapToGrid w:val="0"/>
              <w:spacing w:line="276" w:lineRule="auto"/>
              <w:ind w:left="0" w:firstLine="0"/>
              <w:jc w:val="center"/>
              <w:rPr>
                <w:rFonts w:asciiTheme="minorEastAsia" w:hAnsiTheme="minorEastAsia"/>
                <w:color w:val="auto"/>
                <w:sz w:val="24"/>
                <w:szCs w:val="24"/>
              </w:rPr>
            </w:pPr>
          </w:p>
        </w:tc>
        <w:tc>
          <w:tcPr>
            <w:tcW w:w="3688" w:type="pct"/>
            <w:vAlign w:val="center"/>
          </w:tcPr>
          <w:p>
            <w:pPr>
              <w:adjustRightInd w:val="0"/>
              <w:snapToGrid w:val="0"/>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开机启动工具包</w:t>
            </w:r>
          </w:p>
        </w:tc>
        <w:tc>
          <w:tcPr>
            <w:tcW w:w="831" w:type="pct"/>
            <w:vAlign w:val="center"/>
          </w:tcPr>
          <w:p>
            <w:pPr>
              <w:adjustRightInd w:val="0"/>
              <w:snapToGrid w:val="0"/>
              <w:spacing w:line="276" w:lineRule="auto"/>
              <w:jc w:val="center"/>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套</w:t>
            </w:r>
          </w:p>
        </w:tc>
      </w:tr>
    </w:tbl>
    <w:p>
      <w:pPr>
        <w:pStyle w:val="5"/>
        <w:widowControl w:val="0"/>
        <w:numPr>
          <w:ilvl w:val="0"/>
          <w:numId w:val="1"/>
        </w:numPr>
        <w:adjustRightInd w:val="0"/>
        <w:snapToGrid w:val="0"/>
        <w:spacing w:before="0" w:beforeAutospacing="0" w:after="0" w:afterAutospacing="0" w:line="276" w:lineRule="auto"/>
        <w:ind w:left="0" w:firstLine="482" w:firstLineChars="200"/>
        <w:jc w:val="both"/>
        <w:rPr>
          <w:rFonts w:asciiTheme="minorEastAsia" w:hAnsiTheme="minorEastAsia" w:eastAsiaTheme="minorEastAsia"/>
          <w:b/>
          <w:color w:val="auto"/>
        </w:rPr>
      </w:pPr>
      <w:r>
        <w:rPr>
          <w:rFonts w:hint="eastAsia" w:asciiTheme="minorEastAsia" w:hAnsiTheme="minorEastAsia" w:eastAsiaTheme="minorEastAsia"/>
          <w:b/>
          <w:color w:val="auto"/>
        </w:rPr>
        <w:t>技术要求</w:t>
      </w:r>
    </w:p>
    <w:p>
      <w:pPr>
        <w:numPr>
          <w:ilvl w:val="0"/>
          <w:numId w:val="3"/>
        </w:numPr>
        <w:tabs>
          <w:tab w:val="left" w:pos="2160"/>
          <w:tab w:val="left" w:pos="3168"/>
          <w:tab w:val="left" w:pos="9983"/>
        </w:tabs>
        <w:adjustRightInd w:val="0"/>
        <w:snapToGrid w:val="0"/>
        <w:spacing w:line="276" w:lineRule="auto"/>
        <w:ind w:left="0" w:firstLine="200"/>
        <w:rPr>
          <w:rFonts w:asciiTheme="minorEastAsia" w:hAnsiTheme="minorEastAsia"/>
          <w:color w:val="auto"/>
          <w:sz w:val="24"/>
          <w:szCs w:val="24"/>
        </w:rPr>
      </w:pPr>
      <w:r>
        <w:rPr>
          <w:rFonts w:asciiTheme="minorEastAsia" w:hAnsiTheme="minorEastAsia"/>
          <w:color w:val="auto"/>
          <w:sz w:val="24"/>
          <w:szCs w:val="24"/>
          <w:shd w:val="clear" w:color="auto" w:fill="FFFFFF"/>
        </w:rPr>
        <w:t>▲</w:t>
      </w:r>
      <w:r>
        <w:rPr>
          <w:rFonts w:hint="eastAsia" w:asciiTheme="minorEastAsia" w:hAnsiTheme="minorEastAsia"/>
          <w:color w:val="auto"/>
          <w:sz w:val="24"/>
          <w:szCs w:val="24"/>
        </w:rPr>
        <w:t>电化学半电池取样系统</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1.1</w:t>
      </w:r>
      <w:r>
        <w:rPr>
          <w:rFonts w:hint="eastAsia" w:asciiTheme="minorEastAsia" w:hAnsiTheme="minorEastAsia"/>
          <w:color w:val="auto"/>
          <w:sz w:val="24"/>
          <w:szCs w:val="24"/>
          <w:shd w:val="clear" w:color="auto" w:fill="FFFFFF"/>
        </w:rPr>
        <w:t>化学半电池装置，含有电极</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shd w:val="clear" w:color="auto" w:fill="FFFFFF"/>
        </w:rPr>
      </w:pPr>
      <w:r>
        <w:rPr>
          <w:rFonts w:hint="eastAsia" w:asciiTheme="minorEastAsia" w:hAnsiTheme="minorEastAsia"/>
          <w:color w:val="auto"/>
          <w:sz w:val="24"/>
          <w:szCs w:val="24"/>
        </w:rPr>
        <w:t>1.2</w:t>
      </w:r>
      <w:r>
        <w:rPr>
          <w:rFonts w:hint="eastAsia" w:asciiTheme="minorEastAsia" w:hAnsiTheme="minorEastAsia"/>
          <w:color w:val="auto"/>
          <w:sz w:val="24"/>
          <w:szCs w:val="24"/>
          <w:shd w:val="clear" w:color="auto" w:fill="FFFFFF"/>
        </w:rPr>
        <w:t>快速反应自动关闭隔离阀，可以在薄膜出现损坏时快速关闭，防止液体进入真空分析室，从而保护质谱仪</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1.3真空歧管隔离阀，用于远程快速开启</w:t>
      </w:r>
    </w:p>
    <w:p>
      <w:pPr>
        <w:numPr>
          <w:ilvl w:val="0"/>
          <w:numId w:val="3"/>
        </w:numPr>
        <w:tabs>
          <w:tab w:val="left" w:pos="2160"/>
          <w:tab w:val="left" w:pos="3168"/>
          <w:tab w:val="left" w:pos="9983"/>
        </w:tabs>
        <w:adjustRightInd w:val="0"/>
        <w:snapToGrid w:val="0"/>
        <w:spacing w:line="276" w:lineRule="auto"/>
        <w:ind w:left="0" w:firstLine="480" w:firstLineChars="200"/>
        <w:rPr>
          <w:rFonts w:asciiTheme="minorEastAsia" w:hAnsiTheme="minorEastAsia"/>
          <w:color w:val="auto"/>
          <w:sz w:val="24"/>
          <w:szCs w:val="24"/>
          <w:shd w:val="clear" w:color="auto" w:fill="FFFFFF"/>
        </w:rPr>
      </w:pPr>
      <w:r>
        <w:rPr>
          <w:rFonts w:asciiTheme="minorEastAsia" w:hAnsiTheme="minorEastAsia"/>
          <w:color w:val="auto"/>
          <w:sz w:val="24"/>
          <w:szCs w:val="24"/>
          <w:shd w:val="clear" w:color="auto" w:fill="FFFFFF"/>
        </w:rPr>
        <w:t>▲</w:t>
      </w:r>
      <w:r>
        <w:rPr>
          <w:rFonts w:hint="eastAsia" w:asciiTheme="minorEastAsia" w:hAnsiTheme="minorEastAsia"/>
          <w:color w:val="auto"/>
          <w:sz w:val="24"/>
          <w:szCs w:val="24"/>
          <w:shd w:val="clear" w:color="auto" w:fill="FFFFFF"/>
        </w:rPr>
        <w:t>快速毛细管取样系统</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shd w:val="clear" w:color="auto" w:fill="FFFFFF"/>
        </w:rPr>
      </w:pPr>
      <w:r>
        <w:rPr>
          <w:rFonts w:hint="eastAsia" w:asciiTheme="minorEastAsia" w:hAnsiTheme="minorEastAsia"/>
          <w:color w:val="auto"/>
          <w:sz w:val="24"/>
          <w:szCs w:val="24"/>
          <w:shd w:val="clear" w:color="auto" w:fill="FFFFFF"/>
        </w:rPr>
        <w:t xml:space="preserve">2.1 </w:t>
      </w:r>
      <w:r>
        <w:rPr>
          <w:rFonts w:asciiTheme="minorEastAsia" w:hAnsiTheme="minorEastAsia"/>
          <w:color w:val="auto"/>
          <w:sz w:val="24"/>
          <w:szCs w:val="24"/>
          <w:shd w:val="clear" w:color="auto" w:fill="FFFFFF"/>
        </w:rPr>
        <w:t xml:space="preserve">300ms </w:t>
      </w:r>
      <w:r>
        <w:rPr>
          <w:rFonts w:hint="eastAsia" w:asciiTheme="minorEastAsia" w:hAnsiTheme="minorEastAsia"/>
          <w:color w:val="auto"/>
          <w:sz w:val="24"/>
          <w:szCs w:val="24"/>
          <w:shd w:val="clear" w:color="auto" w:fill="FFFFFF"/>
        </w:rPr>
        <w:t>内对于气体浓度的变化做出反应</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shd w:val="clear" w:color="auto" w:fill="FFFFFF"/>
        </w:rPr>
      </w:pPr>
      <w:r>
        <w:rPr>
          <w:rFonts w:hint="eastAsia" w:asciiTheme="minorEastAsia" w:hAnsiTheme="minorEastAsia"/>
          <w:color w:val="auto"/>
          <w:sz w:val="24"/>
          <w:szCs w:val="24"/>
          <w:shd w:val="clear" w:color="auto" w:fill="FFFFFF"/>
        </w:rPr>
        <w:t>2.2取样管流量：</w:t>
      </w:r>
      <w:r>
        <w:rPr>
          <w:rFonts w:asciiTheme="minorEastAsia" w:hAnsiTheme="minorEastAsia"/>
          <w:color w:val="auto"/>
          <w:sz w:val="24"/>
          <w:szCs w:val="24"/>
          <w:shd w:val="clear" w:color="auto" w:fill="FFFFFF"/>
        </w:rPr>
        <w:t>1</w:t>
      </w:r>
      <w:r>
        <w:rPr>
          <w:rFonts w:hint="eastAsia" w:asciiTheme="minorEastAsia" w:hAnsiTheme="minorEastAsia"/>
          <w:color w:val="auto"/>
          <w:sz w:val="24"/>
          <w:szCs w:val="24"/>
          <w:shd w:val="clear" w:color="auto" w:fill="FFFFFF"/>
        </w:rPr>
        <w:t>～</w:t>
      </w:r>
      <w:r>
        <w:rPr>
          <w:rFonts w:asciiTheme="minorEastAsia" w:hAnsiTheme="minorEastAsia"/>
          <w:color w:val="auto"/>
          <w:sz w:val="24"/>
          <w:szCs w:val="24"/>
          <w:shd w:val="clear" w:color="auto" w:fill="FFFFFF"/>
        </w:rPr>
        <w:t>20sccm</w:t>
      </w:r>
      <w:r>
        <w:rPr>
          <w:rFonts w:hint="eastAsia" w:asciiTheme="minorEastAsia" w:hAnsiTheme="minorEastAsia"/>
          <w:color w:val="auto"/>
          <w:sz w:val="24"/>
          <w:szCs w:val="24"/>
          <w:shd w:val="clear" w:color="auto" w:fill="FFFFFF"/>
        </w:rPr>
        <w:t>，可调节</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shd w:val="clear" w:color="auto" w:fill="FFFFFF"/>
        </w:rPr>
      </w:pPr>
      <w:r>
        <w:rPr>
          <w:rFonts w:hint="eastAsia" w:asciiTheme="minorEastAsia" w:hAnsiTheme="minorEastAsia"/>
          <w:color w:val="auto"/>
          <w:sz w:val="24"/>
          <w:szCs w:val="24"/>
          <w:shd w:val="clear" w:color="auto" w:fill="FFFFFF"/>
        </w:rPr>
        <w:t>2.3取样压力：</w:t>
      </w:r>
      <w:r>
        <w:rPr>
          <w:rFonts w:asciiTheme="minorEastAsia" w:hAnsiTheme="minorEastAsia"/>
          <w:color w:val="auto"/>
          <w:sz w:val="24"/>
          <w:szCs w:val="24"/>
          <w:shd w:val="clear" w:color="auto" w:fill="FFFFFF"/>
        </w:rPr>
        <w:t>100mbar</w:t>
      </w:r>
      <w:r>
        <w:rPr>
          <w:rFonts w:hint="eastAsia" w:asciiTheme="minorEastAsia" w:hAnsiTheme="minorEastAsia"/>
          <w:color w:val="auto"/>
          <w:sz w:val="24"/>
          <w:szCs w:val="24"/>
          <w:shd w:val="clear" w:color="auto" w:fill="FFFFFF"/>
        </w:rPr>
        <w:t>～</w:t>
      </w:r>
      <w:r>
        <w:rPr>
          <w:rFonts w:asciiTheme="minorEastAsia" w:hAnsiTheme="minorEastAsia"/>
          <w:color w:val="auto"/>
          <w:sz w:val="24"/>
          <w:szCs w:val="24"/>
          <w:shd w:val="clear" w:color="auto" w:fill="FFFFFF"/>
        </w:rPr>
        <w:t>2bar</w:t>
      </w:r>
      <w:r>
        <w:rPr>
          <w:rFonts w:hint="eastAsia" w:asciiTheme="minorEastAsia" w:hAnsiTheme="minorEastAsia"/>
          <w:color w:val="auto"/>
          <w:sz w:val="24"/>
          <w:szCs w:val="24"/>
          <w:shd w:val="clear" w:color="auto" w:fill="FFFFFF"/>
        </w:rPr>
        <w:t>，自适应</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shd w:val="clear" w:color="auto" w:fill="FFFFFF"/>
        </w:rPr>
      </w:pPr>
      <w:r>
        <w:rPr>
          <w:rFonts w:hint="eastAsia" w:asciiTheme="minorEastAsia" w:hAnsiTheme="minorEastAsia"/>
          <w:color w:val="auto"/>
          <w:sz w:val="24"/>
          <w:szCs w:val="24"/>
          <w:shd w:val="clear" w:color="auto" w:fill="FFFFFF"/>
        </w:rPr>
        <w:t>2.4取样响应时间：小于</w:t>
      </w:r>
      <w:r>
        <w:rPr>
          <w:rFonts w:asciiTheme="minorEastAsia" w:hAnsiTheme="minorEastAsia"/>
          <w:color w:val="auto"/>
          <w:sz w:val="24"/>
          <w:szCs w:val="24"/>
          <w:shd w:val="clear" w:color="auto" w:fill="FFFFFF"/>
        </w:rPr>
        <w:t xml:space="preserve">150ms/m </w:t>
      </w:r>
      <w:r>
        <w:rPr>
          <w:rFonts w:hint="eastAsia" w:asciiTheme="minorEastAsia" w:hAnsiTheme="minorEastAsia"/>
          <w:color w:val="auto"/>
          <w:sz w:val="24"/>
          <w:szCs w:val="24"/>
          <w:shd w:val="clear" w:color="auto" w:fill="FFFFFF"/>
        </w:rPr>
        <w:t>毛细管</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3、真空系统：</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3.1涡轮分子泵一套，抽速</w:t>
      </w:r>
      <w:r>
        <w:rPr>
          <w:rFonts w:asciiTheme="minorEastAsia" w:hAnsiTheme="minorEastAsia"/>
          <w:color w:val="auto"/>
          <w:sz w:val="24"/>
          <w:szCs w:val="24"/>
        </w:rPr>
        <w:t>60 L/sec</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3.2机械泵作为涡轮分子泵的前级泵</w:t>
      </w:r>
      <w:r>
        <w:rPr>
          <w:rFonts w:asciiTheme="minorEastAsia" w:hAnsiTheme="minorEastAsia"/>
          <w:color w:val="auto"/>
          <w:sz w:val="24"/>
          <w:szCs w:val="24"/>
        </w:rPr>
        <w:t xml:space="preserve">, </w:t>
      </w:r>
      <w:r>
        <w:rPr>
          <w:rFonts w:hint="eastAsia" w:asciiTheme="minorEastAsia" w:hAnsiTheme="minorEastAsia"/>
          <w:color w:val="auto"/>
          <w:sz w:val="24"/>
          <w:szCs w:val="24"/>
        </w:rPr>
        <w:t>并具有旁路真空系统，快速响应压力变化。</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3.3</w:t>
      </w:r>
      <w:r>
        <w:rPr>
          <w:rFonts w:asciiTheme="minorEastAsia" w:hAnsiTheme="minorEastAsia"/>
          <w:color w:val="auto"/>
          <w:sz w:val="24"/>
          <w:szCs w:val="24"/>
        </w:rPr>
        <w:t>Penning</w:t>
      </w:r>
      <w:r>
        <w:rPr>
          <w:rFonts w:hint="eastAsia" w:asciiTheme="minorEastAsia" w:hAnsiTheme="minorEastAsia"/>
          <w:color w:val="auto"/>
          <w:sz w:val="24"/>
          <w:szCs w:val="24"/>
        </w:rPr>
        <w:t>规和互锁装置，可提供过压保护。</w:t>
      </w:r>
      <w:r>
        <w:rPr>
          <w:rFonts w:asciiTheme="minorEastAsia" w:hAnsiTheme="minorEastAsia"/>
          <w:color w:val="auto"/>
          <w:sz w:val="24"/>
          <w:szCs w:val="24"/>
        </w:rPr>
        <w:t> </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w:t>
      </w:r>
      <w:r>
        <w:rPr>
          <w:rFonts w:asciiTheme="minorEastAsia" w:hAnsiTheme="minorEastAsia"/>
          <w:color w:val="auto"/>
          <w:sz w:val="24"/>
          <w:szCs w:val="24"/>
        </w:rPr>
        <w:t xml:space="preserve">▲ </w:t>
      </w:r>
      <w:r>
        <w:rPr>
          <w:rFonts w:hint="eastAsia" w:asciiTheme="minorEastAsia" w:hAnsiTheme="minorEastAsia"/>
          <w:color w:val="auto"/>
          <w:sz w:val="24"/>
          <w:szCs w:val="24"/>
        </w:rPr>
        <w:t>检测极限：</w:t>
      </w:r>
      <w:r>
        <w:rPr>
          <w:rFonts w:asciiTheme="minorEastAsia" w:hAnsiTheme="minorEastAsia"/>
          <w:color w:val="auto"/>
          <w:sz w:val="24"/>
          <w:szCs w:val="24"/>
        </w:rPr>
        <w:t xml:space="preserve"> 0.1ppm</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5、测量通道：</w:t>
      </w:r>
      <w:r>
        <w:rPr>
          <w:rFonts w:asciiTheme="minorEastAsia" w:hAnsiTheme="minorEastAsia"/>
          <w:color w:val="auto"/>
          <w:sz w:val="24"/>
          <w:szCs w:val="24"/>
        </w:rPr>
        <w:t xml:space="preserve"> </w:t>
      </w:r>
      <w:r>
        <w:rPr>
          <w:rFonts w:hint="eastAsia" w:asciiTheme="minorEastAsia" w:hAnsiTheme="minorEastAsia"/>
          <w:color w:val="auto"/>
          <w:sz w:val="24"/>
          <w:szCs w:val="24"/>
        </w:rPr>
        <w:t>大于</w:t>
      </w:r>
      <w:r>
        <w:rPr>
          <w:rFonts w:asciiTheme="minorEastAsia" w:hAnsiTheme="minorEastAsia"/>
          <w:color w:val="auto"/>
          <w:sz w:val="24"/>
          <w:szCs w:val="24"/>
        </w:rPr>
        <w:t>200</w:t>
      </w:r>
      <w:r>
        <w:rPr>
          <w:rFonts w:hint="eastAsia" w:asciiTheme="minorEastAsia" w:hAnsiTheme="minorEastAsia"/>
          <w:color w:val="auto"/>
          <w:sz w:val="24"/>
          <w:szCs w:val="24"/>
        </w:rPr>
        <w:t>个，</w:t>
      </w:r>
      <w:r>
        <w:rPr>
          <w:rFonts w:asciiTheme="minorEastAsia" w:hAnsiTheme="minorEastAsia"/>
          <w:color w:val="auto"/>
          <w:sz w:val="24"/>
          <w:szCs w:val="24"/>
        </w:rPr>
        <w:t xml:space="preserve">MID </w:t>
      </w:r>
      <w:r>
        <w:rPr>
          <w:rFonts w:hint="eastAsia" w:asciiTheme="minorEastAsia" w:hAnsiTheme="minorEastAsia"/>
          <w:color w:val="auto"/>
          <w:sz w:val="24"/>
          <w:szCs w:val="24"/>
        </w:rPr>
        <w:t>模式。</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6、最小扫描步阶：</w:t>
      </w:r>
      <w:r>
        <w:rPr>
          <w:rFonts w:asciiTheme="minorEastAsia" w:hAnsiTheme="minorEastAsia"/>
          <w:color w:val="auto"/>
          <w:sz w:val="24"/>
          <w:szCs w:val="24"/>
        </w:rPr>
        <w:t xml:space="preserve"> 0.01amu</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7、快速扫描速度：</w:t>
      </w:r>
      <w:r>
        <w:rPr>
          <w:rFonts w:asciiTheme="minorEastAsia" w:hAnsiTheme="minorEastAsia"/>
          <w:color w:val="auto"/>
          <w:sz w:val="24"/>
          <w:szCs w:val="24"/>
        </w:rPr>
        <w:t xml:space="preserve"> 100 amu/s</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8、质量数范围：</w:t>
      </w:r>
      <w:r>
        <w:rPr>
          <w:rFonts w:asciiTheme="minorEastAsia" w:hAnsiTheme="minorEastAsia"/>
          <w:color w:val="auto"/>
          <w:sz w:val="24"/>
          <w:szCs w:val="24"/>
        </w:rPr>
        <w:t>1</w:t>
      </w:r>
      <w:r>
        <w:rPr>
          <w:rFonts w:hint="eastAsia" w:asciiTheme="minorEastAsia" w:hAnsiTheme="minorEastAsia"/>
          <w:color w:val="auto"/>
          <w:sz w:val="24"/>
          <w:szCs w:val="24"/>
        </w:rPr>
        <w:t>～</w:t>
      </w:r>
      <w:r>
        <w:rPr>
          <w:rFonts w:asciiTheme="minorEastAsia" w:hAnsiTheme="minorEastAsia"/>
          <w:color w:val="auto"/>
          <w:sz w:val="24"/>
          <w:szCs w:val="24"/>
        </w:rPr>
        <w:t>200 amu</w:t>
      </w:r>
      <w:r>
        <w:rPr>
          <w:rFonts w:hint="eastAsia" w:asciiTheme="minorEastAsia" w:hAnsiTheme="minorEastAsia"/>
          <w:color w:val="auto"/>
          <w:sz w:val="24"/>
          <w:szCs w:val="24"/>
        </w:rPr>
        <w:t>。</w:t>
      </w:r>
      <w:r>
        <w:rPr>
          <w:rFonts w:asciiTheme="minorEastAsia" w:hAnsiTheme="minorEastAsia"/>
          <w:color w:val="auto"/>
          <w:sz w:val="24"/>
          <w:szCs w:val="24"/>
        </w:rPr>
        <w:t xml:space="preserve">(amu: </w:t>
      </w:r>
      <w:r>
        <w:rPr>
          <w:rFonts w:hint="eastAsia" w:asciiTheme="minorEastAsia" w:hAnsiTheme="minorEastAsia"/>
          <w:color w:val="auto"/>
          <w:sz w:val="24"/>
          <w:szCs w:val="24"/>
        </w:rPr>
        <w:t>原子质量单位</w:t>
      </w:r>
      <w:r>
        <w:rPr>
          <w:rFonts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9、最小检测分压：法拉第杯检测器</w:t>
      </w:r>
      <w:r>
        <w:rPr>
          <w:rFonts w:asciiTheme="minorEastAsia" w:hAnsiTheme="minorEastAsia"/>
          <w:color w:val="auto"/>
          <w:sz w:val="24"/>
          <w:szCs w:val="24"/>
        </w:rPr>
        <w:t>1</w:t>
      </w:r>
      <w:r>
        <w:rPr>
          <w:rFonts w:hint="eastAsia" w:asciiTheme="minorEastAsia" w:hAnsiTheme="minorEastAsia"/>
          <w:color w:val="auto"/>
          <w:sz w:val="24"/>
          <w:szCs w:val="24"/>
        </w:rPr>
        <w:t>×</w:t>
      </w:r>
      <w:r>
        <w:rPr>
          <w:rFonts w:asciiTheme="minorEastAsia" w:hAnsiTheme="minorEastAsia"/>
          <w:color w:val="auto"/>
          <w:sz w:val="24"/>
          <w:szCs w:val="24"/>
        </w:rPr>
        <w:t>10</w:t>
      </w:r>
      <w:r>
        <w:rPr>
          <w:rFonts w:hint="eastAsia" w:asciiTheme="minorEastAsia" w:hAnsiTheme="minorEastAsia"/>
          <w:color w:val="auto"/>
          <w:sz w:val="24"/>
          <w:szCs w:val="24"/>
        </w:rPr>
        <w:t>－</w:t>
      </w:r>
      <w:r>
        <w:rPr>
          <w:rFonts w:asciiTheme="minorEastAsia" w:hAnsiTheme="minorEastAsia"/>
          <w:color w:val="auto"/>
          <w:sz w:val="24"/>
          <w:szCs w:val="24"/>
        </w:rPr>
        <w:t>11 mbar;</w:t>
      </w:r>
      <w:r>
        <w:rPr>
          <w:rFonts w:hint="eastAsia" w:asciiTheme="minorEastAsia" w:hAnsiTheme="minorEastAsia"/>
          <w:color w:val="auto"/>
          <w:sz w:val="24"/>
          <w:szCs w:val="24"/>
        </w:rPr>
        <w:t>电子倍增器</w:t>
      </w:r>
      <w:r>
        <w:rPr>
          <w:rFonts w:asciiTheme="minorEastAsia" w:hAnsiTheme="minorEastAsia"/>
          <w:color w:val="auto"/>
          <w:sz w:val="24"/>
          <w:szCs w:val="24"/>
        </w:rPr>
        <w:t>5</w:t>
      </w:r>
      <w:r>
        <w:rPr>
          <w:rFonts w:hint="eastAsia" w:asciiTheme="minorEastAsia" w:hAnsiTheme="minorEastAsia"/>
          <w:color w:val="auto"/>
          <w:sz w:val="24"/>
          <w:szCs w:val="24"/>
        </w:rPr>
        <w:t>×</w:t>
      </w:r>
      <w:r>
        <w:rPr>
          <w:rFonts w:asciiTheme="minorEastAsia" w:hAnsiTheme="minorEastAsia"/>
          <w:color w:val="auto"/>
          <w:sz w:val="24"/>
          <w:szCs w:val="24"/>
        </w:rPr>
        <w:t>10</w:t>
      </w:r>
      <w:r>
        <w:rPr>
          <w:rFonts w:hint="eastAsia" w:asciiTheme="minorEastAsia" w:hAnsiTheme="minorEastAsia"/>
          <w:color w:val="auto"/>
          <w:sz w:val="24"/>
          <w:szCs w:val="24"/>
        </w:rPr>
        <w:t>－</w:t>
      </w:r>
      <w:r>
        <w:rPr>
          <w:rFonts w:asciiTheme="minorEastAsia" w:hAnsiTheme="minorEastAsia"/>
          <w:color w:val="auto"/>
          <w:sz w:val="24"/>
          <w:szCs w:val="24"/>
        </w:rPr>
        <w:t>14 mbar</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10、压力显示：具有真空计，在仪器外部可以显示质谱仪工作压力。</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11、外部信号接口：可将温度（需转换为模拟信号）接入质谱仪并在软件上显示读数。</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shd w:val="clear" w:color="auto" w:fill="FFFFFF"/>
        </w:rPr>
        <w:t>12、</w:t>
      </w:r>
      <w:r>
        <w:rPr>
          <w:rFonts w:asciiTheme="minorEastAsia" w:hAnsiTheme="minorEastAsia"/>
          <w:color w:val="auto"/>
          <w:sz w:val="24"/>
          <w:szCs w:val="24"/>
          <w:shd w:val="clear" w:color="auto" w:fill="FFFFFF"/>
        </w:rPr>
        <w:t>▲</w:t>
      </w:r>
      <w:r>
        <w:rPr>
          <w:rFonts w:hint="eastAsia" w:asciiTheme="minorEastAsia" w:hAnsiTheme="minorEastAsia"/>
          <w:color w:val="auto"/>
          <w:sz w:val="24"/>
          <w:szCs w:val="24"/>
        </w:rPr>
        <w:t>软离子化技术：离子源可改变电离电压</w:t>
      </w:r>
      <w:r>
        <w:rPr>
          <w:rFonts w:asciiTheme="minorEastAsia" w:hAnsiTheme="minorEastAsia"/>
          <w:color w:val="auto"/>
          <w:sz w:val="24"/>
          <w:szCs w:val="24"/>
        </w:rPr>
        <w:t>4</w:t>
      </w:r>
      <w:r>
        <w:rPr>
          <w:rFonts w:hint="eastAsia" w:asciiTheme="minorEastAsia" w:hAnsiTheme="minorEastAsia"/>
          <w:color w:val="auto"/>
          <w:sz w:val="24"/>
          <w:szCs w:val="24"/>
        </w:rPr>
        <w:t>～</w:t>
      </w:r>
      <w:r>
        <w:rPr>
          <w:rFonts w:asciiTheme="minorEastAsia" w:hAnsiTheme="minorEastAsia"/>
          <w:color w:val="auto"/>
          <w:sz w:val="24"/>
          <w:szCs w:val="24"/>
        </w:rPr>
        <w:t>150 eV</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13、离子源：电子轰击离子源，铱灯丝。</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14、操作软件：</w:t>
      </w:r>
      <w:r>
        <w:rPr>
          <w:rFonts w:asciiTheme="minorEastAsia" w:hAnsiTheme="minorEastAsia"/>
          <w:color w:val="auto"/>
          <w:sz w:val="24"/>
          <w:szCs w:val="24"/>
        </w:rPr>
        <w:t xml:space="preserve">  </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14.1可以实时记录、显示实验过程和实验参数</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14.2可控制和显示四极杆参数</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14.3定量数据分析：</w:t>
      </w:r>
      <w:r>
        <w:rPr>
          <w:rFonts w:asciiTheme="minorEastAsia" w:hAnsiTheme="minorEastAsia"/>
          <w:color w:val="auto"/>
          <w:sz w:val="24"/>
          <w:szCs w:val="24"/>
        </w:rPr>
        <w:t xml:space="preserve"> </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14.3.1自动将测量浓度与参考气体进行对比、评估</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14.3.2所有数据总和与</w:t>
      </w:r>
      <w:r>
        <w:rPr>
          <w:rFonts w:asciiTheme="minorEastAsia" w:hAnsiTheme="minorEastAsia"/>
          <w:color w:val="auto"/>
          <w:sz w:val="24"/>
          <w:szCs w:val="24"/>
        </w:rPr>
        <w:t>100%</w:t>
      </w:r>
      <w:r>
        <w:rPr>
          <w:rFonts w:hint="eastAsia" w:asciiTheme="minorEastAsia" w:hAnsiTheme="minorEastAsia"/>
          <w:color w:val="auto"/>
          <w:sz w:val="24"/>
          <w:szCs w:val="24"/>
        </w:rPr>
        <w:t>水平对比，计算包括相对灵敏度和气体的校正参数。</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14.3.3矩阵倒置算法：质谱数据反褶积进行精确地分析样品浓度。</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14.4多窗口操作界面</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14.5具有动态数据交换能力</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14.6离子源控制：</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14.6.1电子能量扫描：</w:t>
      </w:r>
      <w:r>
        <w:rPr>
          <w:rFonts w:asciiTheme="minorEastAsia" w:hAnsiTheme="minorEastAsia"/>
          <w:color w:val="auto"/>
          <w:sz w:val="24"/>
          <w:szCs w:val="24"/>
        </w:rPr>
        <w:t>4</w:t>
      </w:r>
      <w:r>
        <w:rPr>
          <w:rFonts w:hint="eastAsia" w:asciiTheme="minorEastAsia" w:hAnsiTheme="minorEastAsia"/>
          <w:color w:val="auto"/>
          <w:sz w:val="24"/>
          <w:szCs w:val="24"/>
        </w:rPr>
        <w:t>～</w:t>
      </w:r>
      <w:r>
        <w:rPr>
          <w:rFonts w:asciiTheme="minorEastAsia" w:hAnsiTheme="minorEastAsia"/>
          <w:color w:val="auto"/>
          <w:sz w:val="24"/>
          <w:szCs w:val="24"/>
        </w:rPr>
        <w:t>150 eV</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14.6.2离子源离子能量扫描：</w:t>
      </w:r>
      <w:r>
        <w:rPr>
          <w:rFonts w:asciiTheme="minorEastAsia" w:hAnsiTheme="minorEastAsia"/>
          <w:color w:val="auto"/>
          <w:sz w:val="24"/>
          <w:szCs w:val="24"/>
        </w:rPr>
        <w:t>0</w:t>
      </w:r>
      <w:r>
        <w:rPr>
          <w:rFonts w:hint="eastAsia" w:asciiTheme="minorEastAsia" w:hAnsiTheme="minorEastAsia"/>
          <w:color w:val="auto"/>
          <w:sz w:val="24"/>
          <w:szCs w:val="24"/>
        </w:rPr>
        <w:t>～</w:t>
      </w:r>
      <w:r>
        <w:rPr>
          <w:rFonts w:asciiTheme="minorEastAsia" w:hAnsiTheme="minorEastAsia"/>
          <w:color w:val="auto"/>
          <w:sz w:val="24"/>
          <w:szCs w:val="24"/>
        </w:rPr>
        <w:t>10 eV</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14.6.3发射电流扫描：</w:t>
      </w:r>
      <w:r>
        <w:rPr>
          <w:rFonts w:asciiTheme="minorEastAsia" w:hAnsiTheme="minorEastAsia"/>
          <w:color w:val="auto"/>
          <w:sz w:val="24"/>
          <w:szCs w:val="24"/>
        </w:rPr>
        <w:t xml:space="preserve">20 </w:t>
      </w:r>
      <w:r>
        <w:rPr>
          <w:rFonts w:hint="eastAsia" w:asciiTheme="minorEastAsia" w:hAnsiTheme="minorEastAsia"/>
          <w:color w:val="auto"/>
          <w:sz w:val="24"/>
          <w:szCs w:val="24"/>
        </w:rPr>
        <w:t>µ</w:t>
      </w:r>
      <w:r>
        <w:rPr>
          <w:rFonts w:asciiTheme="minorEastAsia" w:hAnsiTheme="minorEastAsia"/>
          <w:color w:val="auto"/>
          <w:sz w:val="24"/>
          <w:szCs w:val="24"/>
        </w:rPr>
        <w:t>A</w:t>
      </w:r>
      <w:r>
        <w:rPr>
          <w:rFonts w:hint="eastAsia" w:asciiTheme="minorEastAsia" w:hAnsiTheme="minorEastAsia"/>
          <w:color w:val="auto"/>
          <w:sz w:val="24"/>
          <w:szCs w:val="24"/>
        </w:rPr>
        <w:t>～</w:t>
      </w:r>
      <w:r>
        <w:rPr>
          <w:rFonts w:asciiTheme="minorEastAsia" w:hAnsiTheme="minorEastAsia"/>
          <w:color w:val="auto"/>
          <w:sz w:val="24"/>
          <w:szCs w:val="24"/>
        </w:rPr>
        <w:t>2 mA</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15、与计算机连接方式：</w:t>
      </w:r>
      <w:r>
        <w:rPr>
          <w:rFonts w:asciiTheme="minorEastAsia" w:hAnsiTheme="minorEastAsia"/>
          <w:color w:val="auto"/>
          <w:sz w:val="24"/>
          <w:szCs w:val="24"/>
        </w:rPr>
        <w:t>RS232</w:t>
      </w:r>
      <w:r>
        <w:rPr>
          <w:rFonts w:hint="eastAsia" w:asciiTheme="minorEastAsia" w:hAnsiTheme="minorEastAsia"/>
          <w:color w:val="auto"/>
          <w:sz w:val="24"/>
          <w:szCs w:val="24"/>
        </w:rPr>
        <w:t>，网线，</w:t>
      </w:r>
      <w:r>
        <w:rPr>
          <w:rFonts w:asciiTheme="minorEastAsia" w:hAnsiTheme="minorEastAsia"/>
          <w:color w:val="auto"/>
          <w:sz w:val="24"/>
          <w:szCs w:val="24"/>
        </w:rPr>
        <w:t>USB</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16、气体分离分析系统：</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16.1</w:t>
      </w:r>
      <w:r>
        <w:rPr>
          <w:rFonts w:asciiTheme="minorEastAsia" w:hAnsiTheme="minorEastAsia"/>
          <w:color w:val="auto"/>
          <w:sz w:val="24"/>
          <w:szCs w:val="24"/>
        </w:rPr>
        <w:t>▲</w:t>
      </w:r>
      <w:r>
        <w:rPr>
          <w:rFonts w:hint="eastAsia" w:asciiTheme="minorEastAsia" w:hAnsiTheme="minorEastAsia"/>
          <w:color w:val="auto"/>
          <w:sz w:val="24"/>
          <w:szCs w:val="24"/>
        </w:rPr>
        <w:t>采用不小于</w:t>
      </w:r>
      <w:r>
        <w:rPr>
          <w:rFonts w:asciiTheme="minorEastAsia" w:hAnsiTheme="minorEastAsia"/>
          <w:color w:val="auto"/>
          <w:sz w:val="24"/>
          <w:szCs w:val="24"/>
        </w:rPr>
        <w:t>8</w:t>
      </w:r>
      <w:r>
        <w:rPr>
          <w:rFonts w:hint="eastAsia" w:asciiTheme="minorEastAsia" w:hAnsiTheme="minorEastAsia"/>
          <w:color w:val="auto"/>
          <w:sz w:val="24"/>
          <w:szCs w:val="24"/>
        </w:rPr>
        <w:t>英寸全中文互动式彩色图形化触摸屏幕控制界面的气相分离分析模块；</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16.2分流</w:t>
      </w:r>
      <w:r>
        <w:rPr>
          <w:rFonts w:asciiTheme="minorEastAsia" w:hAnsiTheme="minorEastAsia"/>
          <w:color w:val="auto"/>
          <w:sz w:val="24"/>
          <w:szCs w:val="24"/>
        </w:rPr>
        <w:t>/</w:t>
      </w:r>
      <w:r>
        <w:rPr>
          <w:rFonts w:hint="eastAsia" w:asciiTheme="minorEastAsia" w:hAnsiTheme="minorEastAsia"/>
          <w:color w:val="auto"/>
          <w:sz w:val="24"/>
          <w:szCs w:val="24"/>
        </w:rPr>
        <w:t>不分流进样口：具有恒压、恒流、恒定线速度以及压力脉冲进样等模式；</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16.3</w:t>
      </w:r>
      <w:r>
        <w:rPr>
          <w:rFonts w:asciiTheme="minorEastAsia" w:hAnsiTheme="minorEastAsia"/>
          <w:color w:val="auto"/>
          <w:sz w:val="24"/>
          <w:szCs w:val="24"/>
        </w:rPr>
        <w:t>▲</w:t>
      </w:r>
      <w:r>
        <w:rPr>
          <w:rFonts w:hint="eastAsia" w:asciiTheme="minorEastAsia" w:hAnsiTheme="minorEastAsia"/>
          <w:color w:val="auto"/>
          <w:sz w:val="24"/>
          <w:szCs w:val="24"/>
        </w:rPr>
        <w:t>氢火焰离子化（</w:t>
      </w:r>
      <w:r>
        <w:rPr>
          <w:rFonts w:asciiTheme="minorEastAsia" w:hAnsiTheme="minorEastAsia"/>
          <w:color w:val="auto"/>
          <w:sz w:val="24"/>
          <w:szCs w:val="24"/>
        </w:rPr>
        <w:t>FID</w:t>
      </w:r>
      <w:r>
        <w:rPr>
          <w:rFonts w:hint="eastAsia" w:asciiTheme="minorEastAsia" w:hAnsiTheme="minorEastAsia"/>
          <w:color w:val="auto"/>
          <w:sz w:val="24"/>
          <w:szCs w:val="24"/>
        </w:rPr>
        <w:t>）检测器：检测限：≤</w:t>
      </w:r>
      <w:r>
        <w:rPr>
          <w:rFonts w:asciiTheme="minorEastAsia" w:hAnsiTheme="minorEastAsia"/>
          <w:color w:val="auto"/>
          <w:sz w:val="24"/>
          <w:szCs w:val="24"/>
        </w:rPr>
        <w:t>1pg C/sec</w:t>
      </w:r>
      <w:r>
        <w:rPr>
          <w:rFonts w:hint="eastAsia" w:asciiTheme="minorEastAsia" w:hAnsiTheme="minorEastAsia"/>
          <w:color w:val="auto"/>
          <w:sz w:val="24"/>
          <w:szCs w:val="24"/>
        </w:rPr>
        <w:t>，配置陶瓷喷嘴具备降低污染，耐腐蚀，不易积碳，降低峰形拖尾功能，对极性和高沸点被分析物能提供更准确的结果；</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16.4柱温箱温度：室温</w:t>
      </w:r>
      <w:r>
        <w:rPr>
          <w:rFonts w:asciiTheme="minorEastAsia" w:hAnsiTheme="minorEastAsia"/>
          <w:color w:val="auto"/>
          <w:sz w:val="24"/>
          <w:szCs w:val="24"/>
        </w:rPr>
        <w:t>+4</w:t>
      </w:r>
      <w:r>
        <w:rPr>
          <w:rFonts w:hint="eastAsia" w:asciiTheme="minorEastAsia" w:hAnsiTheme="minorEastAsia"/>
          <w:color w:val="auto"/>
          <w:sz w:val="24"/>
          <w:szCs w:val="24"/>
        </w:rPr>
        <w:t>℃～</w:t>
      </w:r>
      <w:r>
        <w:rPr>
          <w:rFonts w:asciiTheme="minorEastAsia" w:hAnsiTheme="minorEastAsia"/>
          <w:color w:val="auto"/>
          <w:sz w:val="24"/>
          <w:szCs w:val="24"/>
        </w:rPr>
        <w:t>450</w:t>
      </w:r>
      <w:r>
        <w:rPr>
          <w:rFonts w:hint="eastAsia" w:asciiTheme="minorEastAsia" w:hAnsiTheme="minorEastAsia"/>
          <w:color w:val="auto"/>
          <w:sz w:val="24"/>
          <w:szCs w:val="24"/>
        </w:rPr>
        <w:t>℃；</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16.5</w:t>
      </w:r>
      <w:r>
        <w:rPr>
          <w:rFonts w:asciiTheme="minorEastAsia" w:hAnsiTheme="minorEastAsia"/>
          <w:color w:val="auto"/>
          <w:sz w:val="24"/>
          <w:szCs w:val="24"/>
        </w:rPr>
        <w:t>▲</w:t>
      </w:r>
      <w:r>
        <w:rPr>
          <w:rFonts w:hint="eastAsia" w:asciiTheme="minorEastAsia" w:hAnsiTheme="minorEastAsia"/>
          <w:color w:val="auto"/>
          <w:sz w:val="24"/>
          <w:szCs w:val="24"/>
        </w:rPr>
        <w:t>自动阀切换进样系统（两个六通阀联用，提供阀图）；</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16.6气体净化装置（</w:t>
      </w:r>
      <w:r>
        <w:rPr>
          <w:rFonts w:asciiTheme="minorEastAsia" w:hAnsiTheme="minorEastAsia"/>
          <w:color w:val="auto"/>
          <w:sz w:val="24"/>
          <w:szCs w:val="24"/>
        </w:rPr>
        <w:t>N</w:t>
      </w:r>
      <w:r>
        <w:rPr>
          <w:rFonts w:asciiTheme="minorEastAsia" w:hAnsiTheme="minorEastAsia"/>
          <w:color w:val="auto"/>
          <w:sz w:val="24"/>
          <w:szCs w:val="24"/>
          <w:vertAlign w:val="subscript"/>
        </w:rPr>
        <w:t>2</w:t>
      </w:r>
      <w:r>
        <w:rPr>
          <w:rFonts w:hint="eastAsia" w:asciiTheme="minorEastAsia" w:hAnsiTheme="minorEastAsia"/>
          <w:color w:val="auto"/>
          <w:sz w:val="24"/>
          <w:szCs w:val="24"/>
        </w:rPr>
        <w:t>、</w:t>
      </w:r>
      <w:r>
        <w:rPr>
          <w:rFonts w:asciiTheme="minorEastAsia" w:hAnsiTheme="minorEastAsia"/>
          <w:color w:val="auto"/>
          <w:sz w:val="24"/>
          <w:szCs w:val="24"/>
        </w:rPr>
        <w:t>H</w:t>
      </w:r>
      <w:r>
        <w:rPr>
          <w:rFonts w:asciiTheme="minorEastAsia" w:hAnsiTheme="minorEastAsia"/>
          <w:color w:val="auto"/>
          <w:sz w:val="24"/>
          <w:szCs w:val="24"/>
          <w:vertAlign w:val="subscript"/>
        </w:rPr>
        <w:t>2</w:t>
      </w:r>
      <w:r>
        <w:rPr>
          <w:rFonts w:hint="eastAsia" w:asciiTheme="minorEastAsia" w:hAnsiTheme="minorEastAsia"/>
          <w:color w:val="auto"/>
          <w:sz w:val="24"/>
          <w:szCs w:val="24"/>
        </w:rPr>
        <w:t>、</w:t>
      </w:r>
      <w:r>
        <w:rPr>
          <w:rFonts w:asciiTheme="minorEastAsia" w:hAnsiTheme="minorEastAsia"/>
          <w:color w:val="auto"/>
          <w:sz w:val="24"/>
          <w:szCs w:val="24"/>
        </w:rPr>
        <w:t>AIR</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16.7中文版软件完全满足</w:t>
      </w:r>
      <w:r>
        <w:rPr>
          <w:rFonts w:asciiTheme="minorEastAsia" w:hAnsiTheme="minorEastAsia"/>
          <w:color w:val="auto"/>
          <w:sz w:val="24"/>
          <w:szCs w:val="24"/>
        </w:rPr>
        <w:t xml:space="preserve">FDA 21 CFR Part 11 </w:t>
      </w:r>
      <w:r>
        <w:rPr>
          <w:rFonts w:hint="eastAsia" w:asciiTheme="minorEastAsia" w:hAnsiTheme="minorEastAsia"/>
          <w:color w:val="auto"/>
          <w:sz w:val="24"/>
          <w:szCs w:val="24"/>
        </w:rPr>
        <w:t>和</w:t>
      </w:r>
      <w:r>
        <w:rPr>
          <w:rFonts w:asciiTheme="minorEastAsia" w:hAnsiTheme="minorEastAsia"/>
          <w:color w:val="auto"/>
          <w:sz w:val="24"/>
          <w:szCs w:val="24"/>
        </w:rPr>
        <w:t>GMP/GLP</w:t>
      </w:r>
      <w:r>
        <w:rPr>
          <w:rFonts w:hint="eastAsia" w:asciiTheme="minorEastAsia" w:hAnsiTheme="minorEastAsia"/>
          <w:color w:val="auto"/>
          <w:sz w:val="24"/>
          <w:szCs w:val="24"/>
        </w:rPr>
        <w:t>要求，完全符合审计追踪、用户权限分级管理、电子签名等细节要求</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17、电化学测试系统</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17.1槽压：±</w:t>
      </w:r>
      <w:r>
        <w:rPr>
          <w:rFonts w:asciiTheme="minorEastAsia" w:hAnsiTheme="minorEastAsia"/>
          <w:color w:val="auto"/>
          <w:sz w:val="24"/>
          <w:szCs w:val="24"/>
        </w:rPr>
        <w:t xml:space="preserve">20V </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17.2恒电位测量范围：±</w:t>
      </w:r>
      <w:r>
        <w:rPr>
          <w:rFonts w:asciiTheme="minorEastAsia" w:hAnsiTheme="minorEastAsia"/>
          <w:color w:val="auto"/>
          <w:sz w:val="24"/>
          <w:szCs w:val="24"/>
        </w:rPr>
        <w:t>10V</w:t>
      </w:r>
      <w:r>
        <w:rPr>
          <w:rFonts w:hint="eastAsia" w:asciiTheme="minorEastAsia" w:hAnsiTheme="minorEastAsia"/>
          <w:color w:val="auto"/>
          <w:sz w:val="24"/>
          <w:szCs w:val="24"/>
        </w:rPr>
        <w:t>，可扩展到±</w:t>
      </w:r>
      <w:r>
        <w:rPr>
          <w:rFonts w:asciiTheme="minorEastAsia" w:hAnsiTheme="minorEastAsia"/>
          <w:color w:val="auto"/>
          <w:sz w:val="24"/>
          <w:szCs w:val="24"/>
        </w:rPr>
        <w:t>100V</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17.3最大输出电流：≥</w:t>
      </w:r>
      <w:r>
        <w:rPr>
          <w:rFonts w:asciiTheme="minorEastAsia" w:hAnsiTheme="minorEastAsia"/>
          <w:color w:val="auto"/>
          <w:sz w:val="24"/>
          <w:szCs w:val="24"/>
        </w:rPr>
        <w:t>400mA</w:t>
      </w:r>
      <w:r>
        <w:rPr>
          <w:rFonts w:hint="eastAsia" w:asciiTheme="minorEastAsia" w:hAnsiTheme="minorEastAsia"/>
          <w:color w:val="auto"/>
          <w:sz w:val="24"/>
          <w:szCs w:val="24"/>
        </w:rPr>
        <w:t>，可扩展至</w:t>
      </w:r>
      <w:r>
        <w:rPr>
          <w:rFonts w:asciiTheme="minorEastAsia" w:hAnsiTheme="minorEastAsia"/>
          <w:color w:val="auto"/>
          <w:sz w:val="24"/>
          <w:szCs w:val="24"/>
        </w:rPr>
        <w:t>10A</w:t>
      </w:r>
      <w:r>
        <w:rPr>
          <w:rFonts w:hint="eastAsia" w:asciiTheme="minorEastAsia" w:hAnsiTheme="minorEastAsia"/>
          <w:color w:val="auto"/>
          <w:sz w:val="24"/>
          <w:szCs w:val="24"/>
        </w:rPr>
        <w:t>；</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17.4输入偏置电流：</w:t>
      </w:r>
      <w:r>
        <w:rPr>
          <w:rFonts w:asciiTheme="minorEastAsia" w:hAnsiTheme="minorEastAsia"/>
          <w:color w:val="auto"/>
          <w:sz w:val="24"/>
          <w:szCs w:val="24"/>
        </w:rPr>
        <w:t>&lt;1 pA (25</w:t>
      </w:r>
      <w:r>
        <w:rPr>
          <w:rFonts w:hint="eastAsia" w:asciiTheme="minorEastAsia" w:hAnsiTheme="minorEastAsia"/>
          <w:color w:val="auto"/>
          <w:sz w:val="24"/>
          <w:szCs w:val="24"/>
        </w:rPr>
        <w:t>°</w:t>
      </w:r>
      <w:r>
        <w:rPr>
          <w:rFonts w:asciiTheme="minorEastAsia" w:hAnsiTheme="minorEastAsia"/>
          <w:color w:val="auto"/>
          <w:sz w:val="24"/>
          <w:szCs w:val="24"/>
        </w:rPr>
        <w:t>C)</w:t>
      </w:r>
      <w:r>
        <w:rPr>
          <w:rFonts w:hint="eastAsia" w:asciiTheme="minorEastAsia" w:hAnsiTheme="minorEastAsia"/>
          <w:color w:val="auto"/>
          <w:sz w:val="24"/>
          <w:szCs w:val="24"/>
        </w:rPr>
        <w:t>；</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17.5</w:t>
      </w:r>
      <w:r>
        <w:rPr>
          <w:rFonts w:asciiTheme="minorEastAsia" w:hAnsiTheme="minorEastAsia"/>
          <w:color w:val="auto"/>
          <w:sz w:val="24"/>
          <w:szCs w:val="24"/>
        </w:rPr>
        <w:t>▲</w:t>
      </w:r>
      <w:r>
        <w:rPr>
          <w:rFonts w:hint="eastAsia" w:asciiTheme="minorEastAsia" w:hAnsiTheme="minorEastAsia"/>
          <w:color w:val="auto"/>
          <w:sz w:val="24"/>
          <w:szCs w:val="24"/>
        </w:rPr>
        <w:t>电化学阻抗模块输出频率范围：</w:t>
      </w:r>
      <w:r>
        <w:rPr>
          <w:rFonts w:asciiTheme="minorEastAsia" w:hAnsiTheme="minorEastAsia"/>
          <w:color w:val="auto"/>
          <w:sz w:val="24"/>
          <w:szCs w:val="24"/>
        </w:rPr>
        <w:t>10mHz-32MHz</w:t>
      </w:r>
      <w:r>
        <w:rPr>
          <w:rFonts w:hint="eastAsia" w:asciiTheme="minorEastAsia" w:hAnsiTheme="minorEastAsia"/>
          <w:color w:val="auto"/>
          <w:sz w:val="24"/>
          <w:szCs w:val="24"/>
        </w:rPr>
        <w:t>；</w:t>
      </w:r>
    </w:p>
    <w:p>
      <w:pPr>
        <w:tabs>
          <w:tab w:val="left" w:pos="2160"/>
          <w:tab w:val="left" w:pos="3168"/>
          <w:tab w:val="left" w:pos="9983"/>
        </w:tabs>
        <w:adjustRightInd w:val="0"/>
        <w:snapToGrid w:val="0"/>
        <w:spacing w:line="276"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17.6</w:t>
      </w:r>
      <w:r>
        <w:rPr>
          <w:rFonts w:asciiTheme="minorEastAsia" w:hAnsiTheme="minorEastAsia"/>
          <w:color w:val="auto"/>
          <w:sz w:val="24"/>
          <w:szCs w:val="24"/>
        </w:rPr>
        <w:t>▲</w:t>
      </w:r>
      <w:r>
        <w:rPr>
          <w:rFonts w:hint="eastAsia" w:asciiTheme="minorEastAsia" w:hAnsiTheme="minorEastAsia"/>
          <w:color w:val="auto"/>
          <w:sz w:val="24"/>
          <w:szCs w:val="24"/>
        </w:rPr>
        <w:t>阻抗模值在</w:t>
      </w:r>
      <w:r>
        <w:rPr>
          <w:rFonts w:asciiTheme="minorEastAsia" w:hAnsiTheme="minorEastAsia"/>
          <w:color w:val="auto"/>
          <w:sz w:val="24"/>
          <w:szCs w:val="24"/>
        </w:rPr>
        <w:t>100G</w:t>
      </w:r>
      <w:r>
        <w:rPr>
          <w:rFonts w:hint="eastAsia" w:asciiTheme="minorEastAsia" w:hAnsiTheme="minorEastAsia"/>
          <w:color w:val="auto"/>
          <w:sz w:val="24"/>
          <w:szCs w:val="24"/>
        </w:rPr>
        <w:t>Ω级下特定频率段内精度仍能达到幅值误差优于</w:t>
      </w:r>
      <w:r>
        <w:rPr>
          <w:rFonts w:asciiTheme="minorEastAsia" w:hAnsiTheme="minorEastAsia"/>
          <w:color w:val="auto"/>
          <w:sz w:val="24"/>
          <w:szCs w:val="24"/>
        </w:rPr>
        <w:t>0.3%</w:t>
      </w:r>
      <w:r>
        <w:rPr>
          <w:rFonts w:hint="eastAsia" w:asciiTheme="minorEastAsia" w:hAnsiTheme="minorEastAsia"/>
          <w:color w:val="auto"/>
          <w:sz w:val="24"/>
          <w:szCs w:val="24"/>
        </w:rPr>
        <w:t>；相角误差优于</w:t>
      </w:r>
      <w:r>
        <w:rPr>
          <w:rFonts w:asciiTheme="minorEastAsia" w:hAnsiTheme="minorEastAsia"/>
          <w:color w:val="auto"/>
          <w:sz w:val="24"/>
          <w:szCs w:val="24"/>
        </w:rPr>
        <w:t>0.3</w:t>
      </w:r>
      <w:r>
        <w:rPr>
          <w:rFonts w:hint="eastAsia" w:asciiTheme="minorEastAsia" w:hAnsiTheme="minorEastAsia"/>
          <w:color w:val="auto"/>
          <w:sz w:val="24"/>
          <w:szCs w:val="24"/>
        </w:rPr>
        <w:t>度；</w:t>
      </w:r>
      <w:r>
        <w:rPr>
          <w:rFonts w:asciiTheme="minorEastAsia" w:hAnsiTheme="minorEastAsia"/>
          <w:color w:val="auto"/>
          <w:sz w:val="24"/>
          <w:szCs w:val="24"/>
        </w:rPr>
        <w:t xml:space="preserve"> </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color w:val="auto"/>
          <w:sz w:val="24"/>
          <w:szCs w:val="24"/>
        </w:rPr>
      </w:pPr>
      <w:r>
        <w:rPr>
          <w:rFonts w:hint="eastAsia" w:asciiTheme="minorEastAsia" w:hAnsiTheme="minorEastAsia"/>
          <w:color w:val="auto"/>
          <w:sz w:val="24"/>
          <w:szCs w:val="24"/>
        </w:rPr>
        <w:t>17.7专业控制软件，具有</w:t>
      </w:r>
      <w:r>
        <w:rPr>
          <w:rFonts w:asciiTheme="minorEastAsia" w:hAnsiTheme="minorEastAsia"/>
          <w:color w:val="auto"/>
          <w:sz w:val="24"/>
          <w:szCs w:val="24"/>
        </w:rPr>
        <w:t>link</w:t>
      </w:r>
      <w:r>
        <w:rPr>
          <w:rFonts w:hint="eastAsia" w:asciiTheme="minorEastAsia" w:hAnsiTheme="minorEastAsia"/>
          <w:color w:val="auto"/>
          <w:sz w:val="24"/>
          <w:szCs w:val="24"/>
        </w:rPr>
        <w:t>功能，可实现动态测试；</w:t>
      </w:r>
    </w:p>
    <w:p>
      <w:pPr>
        <w:widowControl/>
        <w:numPr>
          <w:numId w:val="0"/>
        </w:numPr>
        <w:tabs>
          <w:tab w:val="left" w:pos="2160"/>
          <w:tab w:val="left" w:pos="3168"/>
          <w:tab w:val="left" w:pos="9983"/>
        </w:tabs>
        <w:adjustRightInd w:val="0"/>
        <w:snapToGrid w:val="0"/>
        <w:spacing w:line="276" w:lineRule="auto"/>
        <w:ind w:leftChars="200"/>
        <w:jc w:val="left"/>
        <w:rPr>
          <w:rFonts w:asciiTheme="minorEastAsia" w:hAnsiTheme="minorEastAsia" w:eastAsiaTheme="minorEastAsia"/>
          <w:color w:val="auto"/>
        </w:rPr>
      </w:pPr>
      <w:r>
        <w:rPr>
          <w:rFonts w:hint="eastAsia" w:asciiTheme="minorEastAsia" w:hAnsiTheme="minorEastAsia"/>
          <w:color w:val="auto"/>
          <w:sz w:val="24"/>
          <w:szCs w:val="24"/>
        </w:rPr>
        <w:t>17.8工作站通道数≥</w:t>
      </w:r>
      <w:r>
        <w:rPr>
          <w:rFonts w:asciiTheme="minorEastAsia" w:hAnsiTheme="minorEastAsia"/>
          <w:color w:val="auto"/>
          <w:sz w:val="24"/>
          <w:szCs w:val="24"/>
        </w:rPr>
        <w:t>2</w:t>
      </w:r>
      <w:r>
        <w:rPr>
          <w:rFonts w:hint="eastAsia" w:asciiTheme="minorEastAsia" w:hAnsiTheme="minorEastAsia"/>
          <w:color w:val="auto"/>
          <w:sz w:val="24"/>
          <w:szCs w:val="24"/>
        </w:rPr>
        <w:t>个</w:t>
      </w:r>
    </w:p>
    <w:p>
      <w:pPr>
        <w:pStyle w:val="5"/>
        <w:widowControl w:val="0"/>
        <w:numPr>
          <w:ilvl w:val="0"/>
          <w:numId w:val="1"/>
        </w:numPr>
        <w:adjustRightInd w:val="0"/>
        <w:snapToGrid w:val="0"/>
        <w:spacing w:before="0" w:beforeAutospacing="0" w:after="0" w:afterAutospacing="0" w:line="276" w:lineRule="auto"/>
        <w:ind w:left="0" w:firstLine="482" w:firstLineChars="200"/>
        <w:jc w:val="both"/>
        <w:rPr>
          <w:rFonts w:hint="eastAsia" w:asciiTheme="minorEastAsia" w:hAnsiTheme="minorEastAsia" w:eastAsiaTheme="minorEastAsia"/>
          <w:b/>
          <w:color w:val="auto"/>
        </w:rPr>
      </w:pPr>
      <w:r>
        <w:rPr>
          <w:rFonts w:hint="eastAsia" w:asciiTheme="minorEastAsia" w:hAnsiTheme="minorEastAsia" w:eastAsiaTheme="minorEastAsia"/>
          <w:b/>
          <w:color w:val="auto"/>
        </w:rPr>
        <w:t>服务要求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hd w:val="clear" w:color="auto" w:fill="FFFFFF"/>
        </w:rPr>
      </w:pPr>
      <w:r>
        <w:rPr>
          <w:rFonts w:hint="eastAsia"/>
          <w:color w:val="auto"/>
          <w:sz w:val="24"/>
          <w:shd w:val="clear" w:color="auto" w:fill="FFFFFF"/>
          <w:lang w:val="en-US" w:eastAsia="zh-CN"/>
        </w:rPr>
        <w:t>1.</w:t>
      </w:r>
      <w:r>
        <w:rPr>
          <w:rFonts w:hint="eastAsia"/>
          <w:color w:val="auto"/>
          <w:sz w:val="24"/>
          <w:shd w:val="clear" w:color="auto" w:fill="FFFFFF"/>
        </w:rPr>
        <w:t>供应商提供的标准安装的服务内容包括：1）IGS主机的安装。2）操作软件的培训。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hd w:val="clear" w:color="auto" w:fill="FFFFFF"/>
        </w:rPr>
      </w:pPr>
      <w:r>
        <w:rPr>
          <w:rFonts w:hint="eastAsia"/>
          <w:color w:val="auto"/>
          <w:sz w:val="24"/>
          <w:shd w:val="clear" w:color="auto" w:fill="FFFFFF"/>
          <w:lang w:val="en-US" w:eastAsia="zh-CN"/>
        </w:rPr>
        <w:t>2.</w:t>
      </w:r>
      <w:r>
        <w:rPr>
          <w:rFonts w:hint="eastAsia"/>
          <w:color w:val="auto"/>
          <w:sz w:val="24"/>
          <w:shd w:val="clear" w:color="auto" w:fill="FFFFFF"/>
        </w:rPr>
        <w:t>供应商为用户提供仪器现场培训，在仪器到货安装完成后进行，为期一个工作日，内容包括仪器所涉及的基本原理、仪器核心模块及用户购买软件的基本使用方法、上机实际操作指导以及对用户当前进行的课题所涉及的应用进行初步的建议和讨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hd w:val="clear" w:color="auto" w:fill="FFFFFF"/>
        </w:rPr>
      </w:pPr>
      <w:r>
        <w:rPr>
          <w:rFonts w:hint="eastAsia"/>
          <w:color w:val="auto"/>
          <w:sz w:val="24"/>
          <w:shd w:val="clear" w:color="auto" w:fill="FFFFFF"/>
          <w:lang w:val="en-US" w:eastAsia="zh-CN"/>
        </w:rPr>
        <w:t>3.</w:t>
      </w:r>
      <w:r>
        <w:rPr>
          <w:rFonts w:hint="eastAsia"/>
          <w:color w:val="auto"/>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shd w:val="clear" w:color="auto" w:fill="FFFFFF"/>
        </w:rPr>
      </w:pPr>
      <w:r>
        <w:rPr>
          <w:rFonts w:hint="eastAsia"/>
          <w:color w:val="auto"/>
          <w:sz w:val="24"/>
          <w:shd w:val="clear" w:color="auto" w:fill="FFFFFF"/>
          <w:lang w:val="en-US" w:eastAsia="zh-CN"/>
        </w:rPr>
        <w:t>4.</w:t>
      </w:r>
      <w:r>
        <w:rPr>
          <w:rFonts w:hint="eastAsia"/>
          <w:color w:val="auto"/>
          <w:sz w:val="24"/>
          <w:shd w:val="clear" w:color="auto" w:fill="FFFFFF"/>
        </w:rPr>
        <w:t>其它服务：供应商每一年举办三次国内用户学术交流研讨会，为国内用户提供学术交流的平台，促进用户之间的交流；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sz w:val="24"/>
        </w:rPr>
      </w:pPr>
      <w:r>
        <w:rPr>
          <w:rFonts w:hint="eastAsia"/>
          <w:color w:val="auto"/>
          <w:sz w:val="24"/>
          <w:shd w:val="clear" w:color="auto" w:fill="FFFFFF"/>
          <w:lang w:val="en-US" w:eastAsia="zh-CN"/>
        </w:rPr>
        <w:t>5.</w:t>
      </w:r>
      <w:r>
        <w:rPr>
          <w:rFonts w:hint="eastAsia"/>
          <w:color w:val="auto"/>
          <w:sz w:val="24"/>
          <w:shd w:val="clear" w:color="auto" w:fill="FFFFFF"/>
        </w:rPr>
        <w:t>卖方在安装现场提供基本操作培训，且在两年内买方壹名操作者可以按操作需求进度免费参加卖方提供的国内培训学习，不包括差旅住宿费。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00"/>
          <w:sz w:val="24"/>
          <w:shd w:val="clear" w:color="auto" w:fill="FFFFFF"/>
        </w:rPr>
      </w:pPr>
    </w:p>
    <w:p>
      <w:pPr>
        <w:spacing w:line="400" w:lineRule="exact"/>
        <w:jc w:val="left"/>
        <w:rPr>
          <w:rFonts w:hint="eastAsia" w:eastAsia="Adobe 仿宋 Std R"/>
          <w:kern w:val="0"/>
          <w:szCs w:val="21"/>
        </w:rPr>
      </w:pPr>
    </w:p>
    <w:p>
      <w:pPr>
        <w:snapToGrid w:val="0"/>
        <w:spacing w:before="156" w:beforeLines="50" w:line="400" w:lineRule="exact"/>
        <w:ind w:firstLine="480" w:firstLineChars="20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Adobe 仿宋 Std R">
    <w:altName w:val="宋体"/>
    <w:panose1 w:val="00000000000000000000"/>
    <w:charset w:val="86"/>
    <w:family w:val="roman"/>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676A1"/>
    <w:multiLevelType w:val="multilevel"/>
    <w:tmpl w:val="10E676A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C76AF6"/>
    <w:multiLevelType w:val="multilevel"/>
    <w:tmpl w:val="29C76AF6"/>
    <w:lvl w:ilvl="0" w:tentative="0">
      <w:start w:val="1"/>
      <w:numFmt w:val="decimal"/>
      <w:suff w:val="nothing"/>
      <w:lvlText w:val="%1、"/>
      <w:lvlJc w:val="left"/>
      <w:pPr>
        <w:ind w:left="840" w:hanging="420"/>
      </w:pPr>
      <w:rPr>
        <w:rFonts w:hint="eastAsia" w:eastAsia="微软雅黑"/>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36784620"/>
    <w:multiLevelType w:val="multilevel"/>
    <w:tmpl w:val="3678462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6851B4A"/>
    <w:rsid w:val="0CF462EF"/>
    <w:rsid w:val="1E592455"/>
    <w:rsid w:val="23201794"/>
    <w:rsid w:val="2B724B56"/>
    <w:rsid w:val="30C84A8F"/>
    <w:rsid w:val="34E821E5"/>
    <w:rsid w:val="3522139B"/>
    <w:rsid w:val="40C33A32"/>
    <w:rsid w:val="47947ED7"/>
    <w:rsid w:val="483E65AE"/>
    <w:rsid w:val="4C2A6435"/>
    <w:rsid w:val="4ED43F33"/>
    <w:rsid w:val="6FB75727"/>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2021-12-07T05:40:55Z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