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清源创新实验室特殊气氛垂直式膨胀仪</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需求调研情况</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val="0"/>
        <w:spacing w:line="4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申请的膨胀仪，主要用于我部现承担的新能源燃料电池领域的研究任务。由于我们现开展的课题方向，大多数的材料及器件，大到工作和使用的环境、小到内部的循环使用过程，都处于氢气、甲烷等特殊气氛。该气氛下材料的性能与我们常见的大气环境下的性能和行为，有着明显的差异。</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为了深入研究样品在特殊气氛条件下的行为和性能，特申请购置 特殊气氛版本的膨胀仪。用于提升新产品、新工艺开发。</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val="0"/>
        <w:snapToGrid w:val="0"/>
        <w:spacing w:line="460" w:lineRule="exact"/>
        <w:ind w:firstLine="47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新申请膨胀仪，是材料样品表征技术中重要的一种测试方式，适用于常见的陶瓷样品、金属、以及各类高分子材料。其原理是测试样品在升温过程中，样品尺寸的变化，以及膨胀/收缩系数。从而反映样品在该过程中，对应的转变。</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源创新实验室，主要从事的新能源及新能源工程技术开发工作，特别是新的氢能开发和燃料电池开发过程中，会用到大量的材料。材料在普通使用场景下的性能和在氢气条件下或者甲烷等气氛下的性能有着明显的差异。另，燃料本身在新能源循环使用过程中，亦存在氢气和氨气等环境，本设备除了具备常规膨胀仪所有测试功能外，还可用于测试样品在氢气、氨气、甲烷等特殊气氛下，测试材料的以下参数。</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三、国内外同类项目所用的仪器设备及优缺点对比</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74"/>
        <w:gridCol w:w="1076"/>
        <w:gridCol w:w="1339"/>
        <w:gridCol w:w="1440"/>
        <w:gridCol w:w="1335"/>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tcBorders>
              <w:bottom w:val="single" w:color="auto" w:sz="4" w:space="0"/>
            </w:tcBorders>
            <w:vAlign w:val="center"/>
          </w:tcPr>
          <w:p>
            <w:pPr>
              <w:jc w:val="center"/>
              <w:rPr>
                <w:rFonts w:hint="eastAsia"/>
                <w:b/>
                <w:bCs/>
                <w:kern w:val="0"/>
                <w:szCs w:val="21"/>
              </w:rPr>
            </w:pPr>
            <w:r>
              <w:rPr>
                <w:rFonts w:hint="eastAsia"/>
                <w:b/>
                <w:bCs/>
                <w:kern w:val="0"/>
                <w:szCs w:val="21"/>
              </w:rPr>
              <w:t>类别</w:t>
            </w:r>
          </w:p>
        </w:tc>
        <w:tc>
          <w:tcPr>
            <w:tcW w:w="1074" w:type="dxa"/>
            <w:tcBorders>
              <w:bottom w:val="single" w:color="auto" w:sz="4" w:space="0"/>
            </w:tcBorders>
            <w:vAlign w:val="center"/>
          </w:tcPr>
          <w:p>
            <w:pPr>
              <w:jc w:val="center"/>
              <w:rPr>
                <w:b/>
                <w:bCs/>
                <w:kern w:val="0"/>
                <w:szCs w:val="21"/>
              </w:rPr>
            </w:pPr>
            <w:r>
              <w:rPr>
                <w:rFonts w:hint="eastAsia"/>
                <w:b/>
                <w:bCs/>
                <w:kern w:val="0"/>
                <w:szCs w:val="21"/>
              </w:rPr>
              <w:t>项目</w:t>
            </w:r>
          </w:p>
        </w:tc>
        <w:tc>
          <w:tcPr>
            <w:tcW w:w="1076" w:type="dxa"/>
            <w:tcBorders>
              <w:bottom w:val="single" w:color="auto" w:sz="4" w:space="0"/>
            </w:tcBorders>
            <w:vAlign w:val="center"/>
          </w:tcPr>
          <w:p>
            <w:pPr>
              <w:jc w:val="center"/>
              <w:rPr>
                <w:b/>
                <w:bCs/>
                <w:kern w:val="0"/>
                <w:szCs w:val="21"/>
              </w:rPr>
            </w:pPr>
            <w:r>
              <w:rPr>
                <w:b/>
                <w:bCs/>
                <w:kern w:val="0"/>
                <w:szCs w:val="21"/>
              </w:rPr>
              <w:t>第一家公司</w:t>
            </w:r>
          </w:p>
        </w:tc>
        <w:tc>
          <w:tcPr>
            <w:tcW w:w="1339" w:type="dxa"/>
            <w:tcBorders>
              <w:bottom w:val="single" w:color="auto" w:sz="4" w:space="0"/>
            </w:tcBorders>
            <w:vAlign w:val="center"/>
          </w:tcPr>
          <w:p>
            <w:pPr>
              <w:jc w:val="center"/>
              <w:rPr>
                <w:b/>
                <w:bCs/>
                <w:kern w:val="0"/>
                <w:szCs w:val="21"/>
              </w:rPr>
            </w:pPr>
            <w:r>
              <w:rPr>
                <w:b/>
                <w:bCs/>
                <w:kern w:val="0"/>
                <w:szCs w:val="21"/>
              </w:rPr>
              <w:t>第</w:t>
            </w:r>
            <w:r>
              <w:rPr>
                <w:rFonts w:hint="eastAsia"/>
                <w:b/>
                <w:bCs/>
                <w:kern w:val="0"/>
                <w:szCs w:val="21"/>
              </w:rPr>
              <w:t>二</w:t>
            </w:r>
            <w:r>
              <w:rPr>
                <w:b/>
                <w:bCs/>
                <w:kern w:val="0"/>
                <w:szCs w:val="21"/>
              </w:rPr>
              <w:t>家公司</w:t>
            </w:r>
          </w:p>
        </w:tc>
        <w:tc>
          <w:tcPr>
            <w:tcW w:w="1440" w:type="dxa"/>
            <w:tcBorders>
              <w:bottom w:val="single" w:color="auto" w:sz="4" w:space="0"/>
            </w:tcBorders>
            <w:vAlign w:val="center"/>
          </w:tcPr>
          <w:p>
            <w:pPr>
              <w:jc w:val="center"/>
              <w:rPr>
                <w:b/>
                <w:bCs/>
                <w:kern w:val="0"/>
                <w:szCs w:val="21"/>
              </w:rPr>
            </w:pPr>
            <w:r>
              <w:rPr>
                <w:b/>
                <w:bCs/>
                <w:kern w:val="0"/>
                <w:szCs w:val="21"/>
              </w:rPr>
              <w:t>第</w:t>
            </w:r>
            <w:r>
              <w:rPr>
                <w:rFonts w:hint="eastAsia"/>
                <w:b/>
                <w:bCs/>
                <w:kern w:val="0"/>
                <w:szCs w:val="21"/>
              </w:rPr>
              <w:t>三</w:t>
            </w:r>
            <w:r>
              <w:rPr>
                <w:b/>
                <w:bCs/>
                <w:kern w:val="0"/>
                <w:szCs w:val="21"/>
              </w:rPr>
              <w:t>家公司</w:t>
            </w:r>
          </w:p>
        </w:tc>
        <w:tc>
          <w:tcPr>
            <w:tcW w:w="1335" w:type="dxa"/>
            <w:tcBorders>
              <w:bottom w:val="single" w:color="auto" w:sz="4" w:space="0"/>
            </w:tcBorders>
            <w:vAlign w:val="center"/>
          </w:tcPr>
          <w:p>
            <w:pPr>
              <w:jc w:val="center"/>
              <w:rPr>
                <w:rFonts w:hint="eastAsia"/>
                <w:b/>
                <w:bCs/>
                <w:kern w:val="0"/>
                <w:szCs w:val="21"/>
              </w:rPr>
            </w:pPr>
            <w:r>
              <w:rPr>
                <w:rFonts w:hint="eastAsia"/>
                <w:b/>
                <w:bCs/>
                <w:kern w:val="0"/>
                <w:szCs w:val="21"/>
              </w:rPr>
              <w:t>第四家公司</w:t>
            </w:r>
          </w:p>
        </w:tc>
        <w:tc>
          <w:tcPr>
            <w:tcW w:w="2239" w:type="dxa"/>
            <w:tcBorders>
              <w:bottom w:val="single" w:color="auto" w:sz="4" w:space="0"/>
            </w:tcBorders>
            <w:vAlign w:val="center"/>
          </w:tcPr>
          <w:p>
            <w:pPr>
              <w:jc w:val="center"/>
              <w:rPr>
                <w:rFonts w:hint="eastAsia"/>
                <w:b/>
                <w:bCs/>
                <w:kern w:val="0"/>
                <w:szCs w:val="21"/>
              </w:rPr>
            </w:pPr>
            <w:r>
              <w:rPr>
                <w:rFonts w:hint="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Merge w:val="restart"/>
            <w:vAlign w:val="center"/>
          </w:tcPr>
          <w:p>
            <w:pPr>
              <w:jc w:val="center"/>
              <w:rPr>
                <w:b/>
                <w:bCs/>
                <w:kern w:val="0"/>
                <w:sz w:val="28"/>
                <w:szCs w:val="28"/>
              </w:rPr>
            </w:pPr>
            <w:r>
              <w:rPr>
                <w:b/>
                <w:bCs/>
                <w:kern w:val="0"/>
                <w:szCs w:val="21"/>
              </w:rPr>
              <w:t>主要性能指标</w:t>
            </w: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sz w:val="20"/>
                <w:szCs w:val="20"/>
              </w:rPr>
              <w:t>品牌</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sz w:val="20"/>
                <w:szCs w:val="20"/>
              </w:rPr>
              <w:t>Linseis</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sz w:val="20"/>
                <w:szCs w:val="20"/>
              </w:rPr>
              <w:t>Netzch</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sz w:val="20"/>
                <w:szCs w:val="20"/>
              </w:rPr>
              <w:t>Orton</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TAI</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产地</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德国</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德国</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美国</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美国</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型号</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特殊气氛L75V</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DIL 402 Supreme</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Model 1412 STD</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DIL</w:t>
            </w:r>
            <w:r>
              <w:rPr>
                <w:rFonts w:ascii="等线" w:hAnsi="等线" w:eastAsia="等线" w:cs="Arial"/>
                <w:kern w:val="0"/>
                <w:sz w:val="20"/>
                <w:szCs w:val="20"/>
              </w:rPr>
              <w:t xml:space="preserve"> HT822</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结构设计</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垂直式式设计</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水平式设计</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水平式设计</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垂直式设计</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林赛斯特殊气氛垂直膨胀仪L75V，采用垂直式样品设计，对不同厚度的样品，均可测试。样品在测试过程中，样品和支架完全没有接触，实现真正的零摩擦设计。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多推杆支持</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可分别选配1.2.4 个推杆</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可选配1.2个推杆</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可选配1.2 个推杆</w:t>
            </w:r>
          </w:p>
        </w:tc>
        <w:tc>
          <w:tcPr>
            <w:tcW w:w="133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分别可选配1</w:t>
            </w:r>
            <w:r>
              <w:rPr>
                <w:rFonts w:ascii="等线" w:hAnsi="等线" w:eastAsia="等线" w:cs="Arial"/>
                <w:kern w:val="0"/>
                <w:sz w:val="20"/>
                <w:szCs w:val="20"/>
              </w:rPr>
              <w:t xml:space="preserve">-2 </w:t>
            </w:r>
            <w:r>
              <w:rPr>
                <w:rFonts w:hint="eastAsia" w:ascii="等线" w:hAnsi="等线" w:eastAsia="等线" w:cs="Arial"/>
                <w:kern w:val="0"/>
                <w:sz w:val="20"/>
                <w:szCs w:val="20"/>
              </w:rPr>
              <w:t>个推杆</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温度范围</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RT to 1000 °C</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RT to 1000°C</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RT to1200°C</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RT</w:t>
            </w:r>
            <w:r>
              <w:rPr>
                <w:rFonts w:ascii="等线" w:hAnsi="等线" w:eastAsia="等线" w:cs="Arial"/>
                <w:color w:val="000000"/>
                <w:sz w:val="20"/>
                <w:szCs w:val="20"/>
              </w:rPr>
              <w:t>-1000°C</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温度范围均可选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多炉体支持</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最多支持3个炉体</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支持</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不支持</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不支持</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可升级、可扩充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升温速率</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0.001 to 50K/min</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0.001-50K/min</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0.001-50K/min</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bookmarkStart w:id="0" w:name="_GoBack"/>
            <w:bookmarkEnd w:id="0"/>
            <w:r>
              <w:rPr>
                <w:rFonts w:ascii="等线" w:hAnsi="等线" w:eastAsia="等线" w:cs="Arial"/>
                <w:color w:val="000000"/>
                <w:sz w:val="20"/>
                <w:szCs w:val="20"/>
              </w:rPr>
              <w:t>温度分辨率</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0.001K</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0.001K</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0.1K</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0</w:t>
            </w:r>
            <w:r>
              <w:rPr>
                <w:rFonts w:ascii="等线" w:hAnsi="等线" w:eastAsia="等线" w:cs="Arial"/>
                <w:kern w:val="0"/>
                <w:sz w:val="20"/>
                <w:szCs w:val="20"/>
              </w:rPr>
              <w:t>.05</w:t>
            </w:r>
            <w:r>
              <w:rPr>
                <w:rFonts w:hint="eastAsia" w:ascii="等线" w:hAnsi="等线" w:eastAsia="等线" w:cs="Arial"/>
                <w:kern w:val="0"/>
                <w:sz w:val="20"/>
                <w:szCs w:val="20"/>
              </w:rPr>
              <w:t>K</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温度精度</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0.1K</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0.1K</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0</w:t>
            </w:r>
            <w:r>
              <w:rPr>
                <w:rFonts w:ascii="等线" w:hAnsi="等线" w:eastAsia="等线" w:cs="Arial"/>
                <w:kern w:val="0"/>
                <w:sz w:val="20"/>
                <w:szCs w:val="20"/>
              </w:rPr>
              <w:t>.1</w:t>
            </w:r>
            <w:r>
              <w:rPr>
                <w:rFonts w:hint="eastAsia" w:ascii="等线" w:hAnsi="等线" w:eastAsia="等线" w:cs="Arial"/>
                <w:kern w:val="0"/>
                <w:sz w:val="20"/>
                <w:szCs w:val="20"/>
              </w:rPr>
              <w:t>K</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温度准确度</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1K</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1K</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1K</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热稳定性</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0.02K</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0</w:t>
            </w:r>
            <w:r>
              <w:rPr>
                <w:rFonts w:ascii="等线" w:hAnsi="等线" w:eastAsia="等线" w:cs="Arial"/>
                <w:kern w:val="0"/>
                <w:sz w:val="20"/>
                <w:szCs w:val="20"/>
              </w:rPr>
              <w:t>.1</w:t>
            </w:r>
            <w:r>
              <w:rPr>
                <w:rFonts w:hint="eastAsia" w:ascii="等线" w:hAnsi="等线" w:eastAsia="等线" w:cs="Arial"/>
                <w:kern w:val="0"/>
                <w:sz w:val="20"/>
                <w:szCs w:val="20"/>
              </w:rPr>
              <w:t>K</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检测器类型</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LVDT线性位移检测器</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光学解码器</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LVDT</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等线" w:hAnsi="等线" w:eastAsia="等线" w:cs="Arial"/>
                <w:color w:val="000000"/>
                <w:sz w:val="20"/>
                <w:szCs w:val="20"/>
              </w:rPr>
            </w:pPr>
            <w:r>
              <w:rPr>
                <w:rFonts w:hint="eastAsia" w:ascii="等线" w:hAnsi="等线" w:eastAsia="等线" w:cs="Arial"/>
                <w:color w:val="000000"/>
                <w:sz w:val="20"/>
                <w:szCs w:val="20"/>
              </w:rPr>
              <w:t>LVDT传感器</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L75 采用市面上，稳定性好的LVDT传感器，而非光学解码器。相对于光学解码器而言，LVDT传感受温度和环境的温湿度干扰，影响更小。也无需担心灰尘等污染，引起的读数偏差。 具有更好的耐久性。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分辨率</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0.03nm</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Supreme HT0.1nm</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1nm</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等线" w:hAnsi="等线" w:eastAsia="等线" w:cs="Arial"/>
                <w:color w:val="000000"/>
                <w:sz w:val="20"/>
                <w:szCs w:val="20"/>
              </w:rPr>
            </w:pPr>
            <w:r>
              <w:rPr>
                <w:rFonts w:hint="eastAsia" w:ascii="等线" w:hAnsi="等线" w:eastAsia="等线" w:cs="Arial"/>
                <w:color w:val="000000"/>
                <w:sz w:val="20"/>
                <w:szCs w:val="20"/>
              </w:rPr>
              <w:t>&lt;</w:t>
            </w:r>
            <w:r>
              <w:rPr>
                <w:rFonts w:ascii="等线" w:hAnsi="等线" w:eastAsia="等线" w:cs="Arial"/>
                <w:color w:val="000000"/>
                <w:sz w:val="20"/>
                <w:szCs w:val="20"/>
              </w:rPr>
              <w:t>1nm</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林赛斯L75V， 配备有市面上分辨率最高的LVDT传感器，分辨率可达0.03nm。更加适合于一些低膨胀样品的测试。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测试范围</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±2500um</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 25000 μm</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±3180um</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±2300um</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接触力</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10mN to 5N</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10 mN to 3 N</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0.01 – 1N</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等线" w:hAnsi="等线" w:eastAsia="等线" w:cs="Arial"/>
                <w:kern w:val="0"/>
                <w:sz w:val="20"/>
                <w:szCs w:val="20"/>
              </w:rPr>
            </w:pPr>
            <w:r>
              <w:rPr>
                <w:rFonts w:hint="eastAsia" w:ascii="等线" w:hAnsi="等线" w:eastAsia="等线" w:cs="Arial"/>
                <w:kern w:val="0"/>
                <w:sz w:val="20"/>
                <w:szCs w:val="20"/>
              </w:rPr>
              <w:t>0</w:t>
            </w:r>
            <w:r>
              <w:rPr>
                <w:rFonts w:ascii="等线" w:hAnsi="等线" w:eastAsia="等线" w:cs="Arial"/>
                <w:kern w:val="0"/>
                <w:sz w:val="20"/>
                <w:szCs w:val="20"/>
              </w:rPr>
              <w:t>.1-3N</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膨胀系数精度</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0.001%</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kern w:val="0"/>
                <w:sz w:val="20"/>
                <w:szCs w:val="20"/>
              </w:rPr>
              <w:t>0.05%</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膨胀系数准确度</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0.002%</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未提供</w:t>
            </w:r>
          </w:p>
        </w:tc>
        <w:tc>
          <w:tcPr>
            <w:tcW w:w="133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等线" w:hAnsi="等线" w:eastAsia="等线" w:cs="Arial"/>
                <w:kern w:val="0"/>
                <w:sz w:val="20"/>
                <w:szCs w:val="20"/>
              </w:rPr>
            </w:pPr>
            <w:r>
              <w:rPr>
                <w:rFonts w:hint="eastAsia" w:ascii="等线" w:hAnsi="等线" w:eastAsia="等线" w:cs="Arial"/>
                <w:kern w:val="0"/>
                <w:sz w:val="20"/>
                <w:szCs w:val="20"/>
              </w:rPr>
              <w:t>未提供</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tcBorders>
              <w:bottom w:val="single" w:color="auto" w:sz="4" w:space="0"/>
            </w:tcBorders>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气氛</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惰性、氧化、还原、真空</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惰性、氧化、还原、真空</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真空、惰性、空气</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真空、惰性、空气</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restart"/>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特殊气氛</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氢气、氨气、甲烷、水汽 条件下测试 完全支持</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不支持</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不支持</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不支持</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常规的气氛测试，比较常见，但在新能源领域，要实现氢气、氨气、甲烷、水汽条件测试，仅林赛斯支持，并且有成熟的应用案例。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高压膨胀</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可以提供</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无</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无</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等线" w:hAnsi="等线" w:eastAsia="等线" w:cs="Arial"/>
                <w:color w:val="000000"/>
                <w:sz w:val="20"/>
                <w:szCs w:val="20"/>
              </w:rPr>
            </w:pPr>
            <w:r>
              <w:rPr>
                <w:rFonts w:hint="eastAsia" w:ascii="等线" w:hAnsi="等线" w:eastAsia="等线" w:cs="Arial"/>
                <w:color w:val="000000"/>
                <w:sz w:val="20"/>
                <w:szCs w:val="20"/>
              </w:rPr>
              <w:t>无</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等线" w:hAnsi="等线" w:eastAsia="等线"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后续温度范围扩展</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支持</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不支持</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不支持</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不支持</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后续温度范围扩展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接触力调节</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支持</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不支持</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不支持</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支持</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接触力调节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软化点探测</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标配</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标配</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标配</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选配</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软化点探测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tcBorders>
              <w:bottom w:val="single" w:color="auto" w:sz="4" w:space="0"/>
            </w:tcBorders>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涂层内应力测试功能</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选配，可提供</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无法提供</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ascii="等线" w:hAnsi="等线" w:eastAsia="等线" w:cs="Arial"/>
                <w:color w:val="000000"/>
                <w:sz w:val="20"/>
                <w:szCs w:val="20"/>
              </w:rPr>
              <w:t>无法提供</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r>
              <w:rPr>
                <w:rFonts w:hint="eastAsia" w:ascii="等线" w:hAnsi="等线" w:eastAsia="等线" w:cs="Arial"/>
                <w:kern w:val="0"/>
                <w:sz w:val="20"/>
                <w:szCs w:val="20"/>
              </w:rPr>
              <w:t>无法提供</w:t>
            </w:r>
          </w:p>
        </w:tc>
        <w:tc>
          <w:tcPr>
            <w:tcW w:w="22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1" w:type="dxa"/>
            <w:vMerge w:val="restart"/>
            <w:vAlign w:val="center"/>
          </w:tcPr>
          <w:p>
            <w:pPr>
              <w:jc w:val="center"/>
              <w:rPr>
                <w:b/>
                <w:bCs/>
                <w:kern w:val="0"/>
                <w:szCs w:val="21"/>
              </w:rPr>
            </w:pPr>
            <w:r>
              <w:rPr>
                <w:b/>
                <w:bCs/>
                <w:kern w:val="0"/>
                <w:szCs w:val="21"/>
              </w:rPr>
              <w:t>市场情况和价格比较</w:t>
            </w: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等线" w:hAnsi="等线" w:eastAsia="等线" w:cs="Arial"/>
                <w:color w:val="000000"/>
                <w:sz w:val="20"/>
                <w:szCs w:val="20"/>
              </w:rPr>
              <w:t>普通版</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36</w:t>
            </w:r>
            <w:r>
              <w:rPr>
                <w:rFonts w:hint="eastAsia" w:ascii="等线" w:hAnsi="等线" w:eastAsia="等线" w:cs="Arial"/>
                <w:color w:val="000000"/>
                <w:sz w:val="20"/>
                <w:szCs w:val="20"/>
              </w:rPr>
              <w:t>万</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4</w:t>
            </w:r>
            <w:r>
              <w:rPr>
                <w:rFonts w:ascii="等线" w:hAnsi="等线" w:eastAsia="等线" w:cs="Arial"/>
                <w:color w:val="000000"/>
                <w:sz w:val="20"/>
                <w:szCs w:val="20"/>
              </w:rPr>
              <w:t>0</w:t>
            </w:r>
            <w:r>
              <w:rPr>
                <w:rFonts w:hint="eastAsia" w:ascii="等线" w:hAnsi="等线" w:eastAsia="等线" w:cs="Arial"/>
                <w:color w:val="000000"/>
                <w:sz w:val="20"/>
                <w:szCs w:val="20"/>
              </w:rPr>
              <w:t>万</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ascii="等线" w:hAnsi="等线" w:eastAsia="等线" w:cs="Arial"/>
                <w:color w:val="000000"/>
                <w:sz w:val="20"/>
                <w:szCs w:val="20"/>
              </w:rPr>
              <w:t>33-38</w:t>
            </w:r>
            <w:r>
              <w:rPr>
                <w:rFonts w:hint="eastAsia" w:ascii="等线" w:hAnsi="等线" w:eastAsia="等线" w:cs="Arial"/>
                <w:color w:val="000000"/>
                <w:sz w:val="20"/>
                <w:szCs w:val="20"/>
              </w:rPr>
              <w:t>万</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等线" w:hAnsi="等线" w:eastAsia="等线" w:cs="Arial"/>
                <w:color w:val="000000"/>
                <w:sz w:val="20"/>
                <w:szCs w:val="20"/>
              </w:rPr>
              <w:t>4</w:t>
            </w:r>
            <w:r>
              <w:rPr>
                <w:rFonts w:ascii="等线" w:hAnsi="等线" w:eastAsia="等线" w:cs="Arial"/>
                <w:color w:val="000000"/>
                <w:sz w:val="20"/>
                <w:szCs w:val="20"/>
              </w:rPr>
              <w:t>0-50</w:t>
            </w:r>
            <w:r>
              <w:rPr>
                <w:rFonts w:hint="eastAsia" w:ascii="等线" w:hAnsi="等线" w:eastAsia="等线" w:cs="Arial"/>
                <w:color w:val="000000"/>
                <w:sz w:val="20"/>
                <w:szCs w:val="20"/>
              </w:rPr>
              <w:t>万</w:t>
            </w:r>
          </w:p>
        </w:tc>
        <w:tc>
          <w:tcPr>
            <w:tcW w:w="223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vMerge w:val="continue"/>
            <w:tcBorders>
              <w:bottom w:val="single" w:color="auto" w:sz="4" w:space="0"/>
            </w:tcBorders>
            <w:vAlign w:val="center"/>
          </w:tcPr>
          <w:p>
            <w:pPr>
              <w:jc w:val="center"/>
              <w:rPr>
                <w:b/>
                <w:bCs/>
                <w:kern w:val="0"/>
                <w:sz w:val="28"/>
                <w:szCs w:val="28"/>
              </w:rPr>
            </w:pP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等线" w:hAnsi="等线" w:eastAsia="等线" w:cs="Arial"/>
                <w:color w:val="000000"/>
                <w:sz w:val="20"/>
                <w:szCs w:val="20"/>
              </w:rPr>
              <w:t>特殊气氛版</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ascii="等线" w:hAnsi="等线" w:eastAsia="等线" w:cs="Arial"/>
                <w:color w:val="000000"/>
                <w:sz w:val="20"/>
                <w:szCs w:val="20"/>
              </w:rPr>
              <w:t>65</w:t>
            </w:r>
            <w:r>
              <w:rPr>
                <w:rFonts w:hint="eastAsia" w:ascii="等线" w:hAnsi="等线" w:eastAsia="等线" w:cs="Arial"/>
                <w:color w:val="000000"/>
                <w:sz w:val="20"/>
                <w:szCs w:val="20"/>
              </w:rPr>
              <w:t>万</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不提供</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原厂不提供，国内可以配套</w:t>
            </w:r>
          </w:p>
        </w:tc>
        <w:tc>
          <w:tcPr>
            <w:tcW w:w="13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kern w:val="0"/>
                <w:sz w:val="28"/>
                <w:szCs w:val="28"/>
              </w:rPr>
            </w:pPr>
            <w:r>
              <w:rPr>
                <w:rFonts w:hint="eastAsia" w:ascii="等线" w:hAnsi="等线" w:eastAsia="等线" w:cs="Arial"/>
                <w:color w:val="000000"/>
                <w:sz w:val="20"/>
                <w:szCs w:val="20"/>
              </w:rPr>
              <w:t>原厂提供部分，国内配套</w:t>
            </w:r>
          </w:p>
        </w:tc>
        <w:tc>
          <w:tcPr>
            <w:tcW w:w="223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bottom w:val="single" w:color="auto" w:sz="4" w:space="0"/>
            </w:tcBorders>
            <w:vAlign w:val="center"/>
          </w:tcPr>
          <w:p>
            <w:pPr>
              <w:jc w:val="center"/>
              <w:rPr>
                <w:b/>
                <w:bCs/>
                <w:kern w:val="0"/>
                <w:szCs w:val="21"/>
              </w:rPr>
            </w:pPr>
            <w:r>
              <w:rPr>
                <w:b/>
                <w:bCs/>
                <w:kern w:val="0"/>
                <w:szCs w:val="21"/>
              </w:rPr>
              <w:t>售后</w:t>
            </w:r>
          </w:p>
          <w:p>
            <w:pPr>
              <w:jc w:val="center"/>
              <w:rPr>
                <w:b/>
                <w:bCs/>
                <w:kern w:val="0"/>
                <w:sz w:val="28"/>
                <w:szCs w:val="28"/>
              </w:rPr>
            </w:pPr>
            <w:r>
              <w:rPr>
                <w:b/>
                <w:bCs/>
                <w:kern w:val="0"/>
                <w:szCs w:val="21"/>
              </w:rPr>
              <w:t>服务</w:t>
            </w:r>
          </w:p>
        </w:tc>
        <w:tc>
          <w:tcPr>
            <w:tcW w:w="10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售后服务</w:t>
            </w:r>
          </w:p>
        </w:tc>
        <w:tc>
          <w:tcPr>
            <w:tcW w:w="1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林赛斯在华南设有专门的服务网点、支持华南区域的仪器安装、培训、以及售后应用等工作。</w:t>
            </w:r>
          </w:p>
        </w:tc>
        <w:tc>
          <w:tcPr>
            <w:tcW w:w="13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在广州设有专门的服务网点、支持华南区域的仪器安装、培训、以及售后应用等工作。</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等线" w:hAnsi="等线" w:eastAsia="等线" w:cs="Arial"/>
                <w:color w:val="000000"/>
                <w:sz w:val="20"/>
                <w:szCs w:val="20"/>
              </w:rPr>
            </w:pPr>
            <w:r>
              <w:rPr>
                <w:rFonts w:hint="eastAsia" w:ascii="等线" w:hAnsi="等线" w:eastAsia="等线" w:cs="Arial"/>
                <w:color w:val="000000"/>
                <w:sz w:val="20"/>
                <w:szCs w:val="20"/>
              </w:rPr>
              <w:t>华南没有专门的服务网点、华南区域的仪器安装、培训、以及售后应用等工作均由一个代理商提供。但售后收费较贵。</w:t>
            </w:r>
          </w:p>
        </w:tc>
        <w:tc>
          <w:tcPr>
            <w:tcW w:w="133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p>
        </w:tc>
        <w:tc>
          <w:tcPr>
            <w:tcW w:w="223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p>
        </w:tc>
      </w:tr>
    </w:tbl>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四、条件准备情况</w:t>
      </w:r>
    </w:p>
    <w:p>
      <w:pPr>
        <w:keepNext w:val="0"/>
        <w:keepLines w:val="0"/>
        <w:pageBreakBefore w:val="0"/>
        <w:widowControl w:val="0"/>
        <w:kinsoku/>
        <w:wordWrap/>
        <w:overflowPunct/>
        <w:topLinePunct w:val="0"/>
        <w:autoSpaceDE/>
        <w:autoSpaceDN/>
        <w:bidi w:val="0"/>
        <w:adjustRightInd/>
        <w:spacing w:line="480" w:lineRule="exact"/>
        <w:ind w:firstLine="480"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该仪器不需要特殊的防磁防震、防毒防幅射条件，使用过程中不排出废水废气，对环境没有有害影响；仪器使用环境要求：电源（220-240V，50Hz）；温度（5℃～40℃）；相对湿度（30～60%）。</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该仪器质量可靠，经久耐用，正常使用年限为8-10年。无需特殊配套。</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五、可能存在的安全性问题</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热膨胀仪属于实验室常规设备，机器本身相对比较安全，无毒无害，也不需要特殊的水电要求，购入后将由生产厂家对所有操作人员进行系统培训，提供具体操作流程。本仪器在测试过程中，会涉及到特殊气氛，安全管理规范，参照我实验室危化类气体管理规定。</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42D47"/>
    <w:rsid w:val="002163C8"/>
    <w:rsid w:val="004168C3"/>
    <w:rsid w:val="0044004C"/>
    <w:rsid w:val="004E4B0D"/>
    <w:rsid w:val="00533DFC"/>
    <w:rsid w:val="006754F0"/>
    <w:rsid w:val="00EB7E60"/>
    <w:rsid w:val="00F85A82"/>
    <w:rsid w:val="01EA0E83"/>
    <w:rsid w:val="0301396B"/>
    <w:rsid w:val="05154E61"/>
    <w:rsid w:val="084C67EF"/>
    <w:rsid w:val="0ACD3951"/>
    <w:rsid w:val="0C2107A9"/>
    <w:rsid w:val="0CF462EF"/>
    <w:rsid w:val="108F4BD1"/>
    <w:rsid w:val="11C95F9C"/>
    <w:rsid w:val="1209283C"/>
    <w:rsid w:val="130628D8"/>
    <w:rsid w:val="1C0F6D14"/>
    <w:rsid w:val="1E592455"/>
    <w:rsid w:val="1F022D19"/>
    <w:rsid w:val="1FBB33A3"/>
    <w:rsid w:val="23201794"/>
    <w:rsid w:val="240E07A9"/>
    <w:rsid w:val="251D242F"/>
    <w:rsid w:val="257B5FDE"/>
    <w:rsid w:val="25C44658"/>
    <w:rsid w:val="27F343D9"/>
    <w:rsid w:val="29D46E34"/>
    <w:rsid w:val="2B2160A9"/>
    <w:rsid w:val="2B724B56"/>
    <w:rsid w:val="2C5509C3"/>
    <w:rsid w:val="2E6863BB"/>
    <w:rsid w:val="2E7F7CB6"/>
    <w:rsid w:val="30C84A8F"/>
    <w:rsid w:val="3522139B"/>
    <w:rsid w:val="35BA60CE"/>
    <w:rsid w:val="39C33C94"/>
    <w:rsid w:val="3AE73522"/>
    <w:rsid w:val="3D0535B4"/>
    <w:rsid w:val="3D840267"/>
    <w:rsid w:val="40C33A32"/>
    <w:rsid w:val="47947ED7"/>
    <w:rsid w:val="483E65AE"/>
    <w:rsid w:val="49CE17BF"/>
    <w:rsid w:val="4BFE6267"/>
    <w:rsid w:val="4C2A6435"/>
    <w:rsid w:val="536D782E"/>
    <w:rsid w:val="55591C47"/>
    <w:rsid w:val="564927D4"/>
    <w:rsid w:val="57D85FAF"/>
    <w:rsid w:val="5F131BD1"/>
    <w:rsid w:val="709541F4"/>
    <w:rsid w:val="70FF1E55"/>
    <w:rsid w:val="733C68A4"/>
    <w:rsid w:val="74543DB5"/>
    <w:rsid w:val="77B27D81"/>
    <w:rsid w:val="78360949"/>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364</Words>
  <Characters>2081</Characters>
  <Lines>17</Lines>
  <Paragraphs>4</Paragraphs>
  <TotalTime>15</TotalTime>
  <ScaleCrop>false</ScaleCrop>
  <LinksUpToDate>false</LinksUpToDate>
  <CharactersWithSpaces>2441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2021-12-07T05:34:26Z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