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bookmarkStart w:id="0" w:name="_GoBack"/>
      <w:bookmarkEnd w:id="0"/>
      <w:r>
        <w:rPr>
          <w:rFonts w:hint="eastAsia" w:ascii="方正小标宋简体" w:hAnsi="方正小标宋简体" w:eastAsia="方正小标宋简体" w:cs="方正小标宋简体"/>
          <w:b/>
          <w:bCs/>
          <w:color w:val="000000"/>
          <w:sz w:val="36"/>
          <w:szCs w:val="36"/>
        </w:rPr>
        <w:t>清源创新实验室离子色谱仪需求调研情况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离子色谱仪适用于分析溶液</w:t>
      </w:r>
      <w:r>
        <w:rPr>
          <w:rFonts w:ascii="仿宋_GB2312" w:hAnsi="仿宋_GB2312" w:eastAsia="仿宋_GB2312" w:cs="仿宋_GB2312"/>
          <w:color w:val="000000"/>
          <w:sz w:val="32"/>
          <w:szCs w:val="32"/>
        </w:rPr>
        <w:t>中的</w:t>
      </w:r>
      <w:r>
        <w:rPr>
          <w:rFonts w:hint="eastAsia" w:ascii="仿宋_GB2312" w:hAnsi="仿宋_GB2312" w:eastAsia="仿宋_GB2312" w:cs="仿宋_GB2312"/>
          <w:color w:val="000000"/>
          <w:sz w:val="32"/>
          <w:szCs w:val="32"/>
        </w:rPr>
        <w:t>阴离子和阳离子。氨工业催化方向实验室计划购置的离子色谱仪，主要用于合成氨反应硫酸</w:t>
      </w:r>
      <w:r>
        <w:rPr>
          <w:rFonts w:ascii="仿宋_GB2312" w:hAnsi="仿宋_GB2312" w:eastAsia="仿宋_GB2312" w:cs="仿宋_GB2312"/>
          <w:color w:val="000000"/>
          <w:sz w:val="32"/>
          <w:szCs w:val="32"/>
        </w:rPr>
        <w:t>吸收氨气后</w:t>
      </w:r>
      <w:r>
        <w:rPr>
          <w:rFonts w:hint="eastAsia" w:ascii="仿宋_GB2312" w:hAnsi="仿宋_GB2312" w:eastAsia="仿宋_GB2312" w:cs="仿宋_GB2312"/>
          <w:color w:val="000000"/>
          <w:sz w:val="32"/>
          <w:szCs w:val="32"/>
        </w:rPr>
        <w:t>的氨根检测，可服务于实验室各相关研究方向，加速催化剂活性评价</w:t>
      </w:r>
      <w:r>
        <w:rPr>
          <w:rFonts w:ascii="仿宋_GB2312" w:hAnsi="仿宋_GB2312" w:eastAsia="仿宋_GB2312" w:cs="仿宋_GB2312"/>
          <w:color w:val="000000"/>
          <w:sz w:val="32"/>
          <w:szCs w:val="32"/>
        </w:rPr>
        <w:t>及制备</w:t>
      </w:r>
      <w:r>
        <w:rPr>
          <w:rFonts w:hint="eastAsia" w:ascii="仿宋_GB2312" w:hAnsi="仿宋_GB2312" w:eastAsia="仿宋_GB2312" w:cs="仿宋_GB2312"/>
          <w:color w:val="000000"/>
          <w:sz w:val="32"/>
          <w:szCs w:val="32"/>
        </w:rPr>
        <w:t>工艺的优化，推动氨</w:t>
      </w:r>
      <w:r>
        <w:rPr>
          <w:rFonts w:ascii="仿宋_GB2312" w:hAnsi="仿宋_GB2312" w:eastAsia="仿宋_GB2312" w:cs="仿宋_GB2312"/>
          <w:color w:val="000000"/>
          <w:sz w:val="32"/>
          <w:szCs w:val="32"/>
        </w:rPr>
        <w:t>合成催化剂</w:t>
      </w:r>
      <w:r>
        <w:rPr>
          <w:rFonts w:hint="eastAsia" w:ascii="仿宋_GB2312" w:hAnsi="仿宋_GB2312" w:eastAsia="仿宋_GB2312" w:cs="仿宋_GB2312"/>
          <w:color w:val="000000"/>
          <w:sz w:val="32"/>
          <w:szCs w:val="32"/>
        </w:rPr>
        <w:t>的应用研究进程。</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拟购置的离子色谱仪可以分析</w:t>
      </w:r>
      <w:r>
        <w:rPr>
          <w:rFonts w:ascii="仿宋_GB2312" w:hAnsi="仿宋_GB2312" w:eastAsia="仿宋_GB2312" w:cs="仿宋_GB2312"/>
          <w:color w:val="000000"/>
          <w:sz w:val="32"/>
          <w:szCs w:val="32"/>
        </w:rPr>
        <w:t>硫酸溶液中的铵根离子浓度，</w:t>
      </w:r>
      <w:r>
        <w:rPr>
          <w:rFonts w:hint="eastAsia" w:ascii="仿宋_GB2312" w:hAnsi="仿宋_GB2312" w:eastAsia="仿宋_GB2312" w:cs="仿宋_GB2312"/>
          <w:color w:val="000000"/>
          <w:sz w:val="32"/>
          <w:szCs w:val="32"/>
        </w:rPr>
        <w:t>从而</w:t>
      </w:r>
      <w:r>
        <w:rPr>
          <w:rFonts w:ascii="仿宋_GB2312" w:hAnsi="仿宋_GB2312" w:eastAsia="仿宋_GB2312" w:cs="仿宋_GB2312"/>
          <w:color w:val="000000"/>
          <w:sz w:val="32"/>
          <w:szCs w:val="32"/>
        </w:rPr>
        <w:t>确定</w:t>
      </w:r>
      <w:r>
        <w:rPr>
          <w:rFonts w:hint="eastAsia" w:ascii="仿宋_GB2312" w:hAnsi="仿宋_GB2312" w:eastAsia="仿宋_GB2312" w:cs="仿宋_GB2312"/>
          <w:color w:val="000000"/>
          <w:sz w:val="32"/>
          <w:szCs w:val="32"/>
        </w:rPr>
        <w:t>氨合成催化剂评价系统出口气</w:t>
      </w:r>
      <w:r>
        <w:rPr>
          <w:rFonts w:ascii="仿宋_GB2312" w:hAnsi="仿宋_GB2312" w:eastAsia="仿宋_GB2312" w:cs="仿宋_GB2312"/>
          <w:color w:val="000000"/>
          <w:sz w:val="32"/>
          <w:szCs w:val="32"/>
        </w:rPr>
        <w:t>中氨气的含量及</w:t>
      </w:r>
      <w:r>
        <w:rPr>
          <w:rFonts w:hint="eastAsia" w:ascii="仿宋_GB2312" w:hAnsi="仿宋_GB2312" w:eastAsia="仿宋_GB2312" w:cs="仿宋_GB2312"/>
          <w:color w:val="000000"/>
          <w:sz w:val="32"/>
          <w:szCs w:val="32"/>
        </w:rPr>
        <w:t>其</w:t>
      </w:r>
      <w:r>
        <w:rPr>
          <w:rFonts w:ascii="仿宋_GB2312" w:hAnsi="仿宋_GB2312" w:eastAsia="仿宋_GB2312" w:cs="仿宋_GB2312"/>
          <w:color w:val="000000"/>
          <w:sz w:val="32"/>
          <w:szCs w:val="32"/>
        </w:rPr>
        <w:t>氨</w:t>
      </w:r>
      <w:r>
        <w:rPr>
          <w:rFonts w:hint="eastAsia" w:ascii="仿宋_GB2312" w:hAnsi="仿宋_GB2312" w:eastAsia="仿宋_GB2312" w:cs="仿宋_GB2312"/>
          <w:color w:val="000000"/>
          <w:sz w:val="32"/>
          <w:szCs w:val="32"/>
        </w:rPr>
        <w:t>生成</w:t>
      </w:r>
      <w:r>
        <w:rPr>
          <w:rFonts w:ascii="仿宋_GB2312" w:hAnsi="仿宋_GB2312" w:eastAsia="仿宋_GB2312" w:cs="仿宋_GB2312"/>
          <w:color w:val="000000"/>
          <w:sz w:val="32"/>
          <w:szCs w:val="32"/>
        </w:rPr>
        <w:t>速率</w:t>
      </w:r>
      <w:r>
        <w:rPr>
          <w:rFonts w:hint="eastAsia" w:ascii="仿宋_GB2312" w:hAnsi="仿宋_GB2312" w:eastAsia="仿宋_GB2312" w:cs="仿宋_GB2312"/>
          <w:color w:val="000000"/>
          <w:sz w:val="32"/>
          <w:szCs w:val="32"/>
        </w:rPr>
        <w:t>，满足不同条件下氨合成催化剂活性评价的需要，可加速以工业应用研究为目标的氨</w:t>
      </w:r>
      <w:r>
        <w:rPr>
          <w:rFonts w:ascii="仿宋_GB2312" w:hAnsi="仿宋_GB2312" w:eastAsia="仿宋_GB2312" w:cs="仿宋_GB2312"/>
          <w:color w:val="000000"/>
          <w:sz w:val="32"/>
          <w:szCs w:val="32"/>
        </w:rPr>
        <w:t>合成</w:t>
      </w:r>
      <w:r>
        <w:rPr>
          <w:rFonts w:hint="eastAsia" w:ascii="仿宋_GB2312" w:hAnsi="仿宋_GB2312" w:eastAsia="仿宋_GB2312" w:cs="仿宋_GB2312"/>
          <w:color w:val="000000"/>
          <w:sz w:val="32"/>
          <w:szCs w:val="32"/>
        </w:rPr>
        <w:t>催化剂的研发进程。该设备的购置主要服务于清源实验室氨工业催化方向所承担国家省部 及企业合作项目及各类人才的培养。</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tbl>
      <w:tblPr>
        <w:tblStyle w:val="3"/>
        <w:tblW w:w="0" w:type="auto"/>
        <w:jc w:val="center"/>
        <w:tblLayout w:type="fixed"/>
        <w:tblCellMar>
          <w:top w:w="0" w:type="dxa"/>
          <w:left w:w="10" w:type="dxa"/>
          <w:bottom w:w="0" w:type="dxa"/>
          <w:right w:w="10" w:type="dxa"/>
        </w:tblCellMar>
      </w:tblPr>
      <w:tblGrid>
        <w:gridCol w:w="991"/>
        <w:gridCol w:w="2085"/>
        <w:gridCol w:w="2220"/>
        <w:gridCol w:w="652"/>
        <w:gridCol w:w="1583"/>
        <w:gridCol w:w="168"/>
        <w:gridCol w:w="2067"/>
      </w:tblGrid>
      <w:tr>
        <w:tblPrEx>
          <w:tblCellMar>
            <w:top w:w="0" w:type="dxa"/>
            <w:left w:w="10" w:type="dxa"/>
            <w:bottom w:w="0" w:type="dxa"/>
            <w:right w:w="10" w:type="dxa"/>
          </w:tblCellMar>
        </w:tblPrEx>
        <w:trPr>
          <w:trHeight w:val="451"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名称</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型号</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制造公司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使用单位</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购置时间</w:t>
            </w:r>
          </w:p>
        </w:tc>
      </w:tr>
      <w:tr>
        <w:tblPrEx>
          <w:tblCellMar>
            <w:top w:w="0" w:type="dxa"/>
            <w:left w:w="10" w:type="dxa"/>
            <w:bottom w:w="0" w:type="dxa"/>
            <w:right w:w="10" w:type="dxa"/>
          </w:tblCellMar>
        </w:tblPrEx>
        <w:trPr>
          <w:trHeight w:val="567"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瑞士万通ECO</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pPr>
            <w:r>
              <w:rPr>
                <w:rFonts w:hint="eastAsia" w:ascii="仿宋_GB2312" w:hAnsi="仿宋_GB2312" w:eastAsia="仿宋_GB2312" w:cs="仿宋_GB2312"/>
                <w:color w:val="000000"/>
              </w:rPr>
              <w:t>ECO</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140"/>
              <w:jc w:val="center"/>
            </w:pPr>
            <w:r>
              <w:rPr>
                <w:rFonts w:hint="eastAsia" w:ascii="仿宋_GB2312" w:hAnsi="仿宋_GB2312" w:eastAsia="仿宋_GB2312" w:cs="仿宋_GB2312"/>
                <w:color w:val="000000"/>
              </w:rPr>
              <w:t>瑞士万通</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140"/>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rPr>
              <w:t>龙岩学院</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eastAsia="PMingLiU"/>
              </w:rPr>
            </w:pPr>
            <w:r>
              <w:rPr>
                <w:rFonts w:ascii="Times New Roman" w:hAnsi="Times New Roman" w:eastAsia="Times New Roman" w:cs="Times New Roman"/>
                <w:color w:val="000000"/>
              </w:rPr>
              <w:t>202</w:t>
            </w:r>
            <w:r>
              <w:rPr>
                <w:rFonts w:ascii="Times New Roman" w:hAnsi="Times New Roman" w:eastAsia="PMingLiU" w:cs="Times New Roman"/>
                <w:color w:val="000000"/>
              </w:rPr>
              <w:t>1</w:t>
            </w:r>
          </w:p>
        </w:tc>
      </w:tr>
      <w:tr>
        <w:tblPrEx>
          <w:tblCellMar>
            <w:top w:w="0" w:type="dxa"/>
            <w:left w:w="10" w:type="dxa"/>
            <w:bottom w:w="0" w:type="dxa"/>
            <w:right w:w="10" w:type="dxa"/>
          </w:tblCellMar>
        </w:tblPrEx>
        <w:trPr>
          <w:trHeight w:val="710"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日本东曹IC-2010</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pPr>
            <w:r>
              <w:rPr>
                <w:rFonts w:hint="eastAsia" w:ascii="仿宋_GB2312" w:hAnsi="仿宋_GB2312" w:eastAsia="仿宋_GB2312" w:cs="仿宋_GB2312"/>
                <w:color w:val="000000"/>
              </w:rPr>
              <w:t>IC-2010</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pPr>
            <w:r>
              <w:rPr>
                <w:rFonts w:hint="eastAsia" w:ascii="仿宋_GB2312" w:hAnsi="仿宋_GB2312" w:eastAsia="仿宋_GB2312" w:cs="仿宋_GB2312"/>
                <w:color w:val="000000"/>
              </w:rPr>
              <w:t>日本东曹</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14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黑龙江鸡西</w:t>
            </w:r>
            <w:r>
              <w:rPr>
                <w:rFonts w:ascii="仿宋_GB2312" w:hAnsi="仿宋_GB2312" w:eastAsia="仿宋_GB2312" w:cs="仿宋_GB2312"/>
                <w:color w:val="000000"/>
                <w:lang w:eastAsia="zh-CN"/>
              </w:rPr>
              <w:t>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eastAsia="PMingLiU"/>
              </w:rPr>
            </w:pPr>
            <w:r>
              <w:rPr>
                <w:rFonts w:ascii="Times New Roman" w:hAnsi="Times New Roman" w:eastAsia="Times New Roman" w:cs="Times New Roman"/>
                <w:color w:val="000000"/>
              </w:rPr>
              <w:t>201</w:t>
            </w:r>
            <w:r>
              <w:rPr>
                <w:rFonts w:ascii="Times New Roman" w:hAnsi="Times New Roman" w:eastAsia="PMingLiU" w:cs="Times New Roman"/>
                <w:color w:val="000000"/>
              </w:rPr>
              <w:t>2</w:t>
            </w:r>
          </w:p>
        </w:tc>
      </w:tr>
      <w:tr>
        <w:tblPrEx>
          <w:tblCellMar>
            <w:top w:w="0" w:type="dxa"/>
            <w:left w:w="10" w:type="dxa"/>
            <w:bottom w:w="0" w:type="dxa"/>
            <w:right w:w="10" w:type="dxa"/>
          </w:tblCellMar>
        </w:tblPrEx>
        <w:trPr>
          <w:trHeight w:val="589"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德国赛卡姆S-150</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pPr>
            <w:r>
              <w:rPr>
                <w:rFonts w:hint="eastAsia" w:ascii="仿宋_GB2312" w:hAnsi="仿宋_GB2312" w:eastAsia="仿宋_GB2312" w:cs="仿宋_GB2312"/>
                <w:color w:val="000000"/>
              </w:rPr>
              <w:t>S-150</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140"/>
              <w:jc w:val="center"/>
            </w:pPr>
            <w:r>
              <w:rPr>
                <w:rFonts w:hint="eastAsia" w:ascii="仿宋_GB2312" w:hAnsi="仿宋_GB2312" w:eastAsia="仿宋_GB2312" w:cs="仿宋_GB2312"/>
                <w:color w:val="000000"/>
              </w:rPr>
              <w:t>德国赛卡姆</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ind w:firstLine="14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河南乾祥农牧科技</w:t>
            </w:r>
          </w:p>
          <w:p>
            <w:pPr>
              <w:pStyle w:val="8"/>
              <w:adjustRightInd w:val="0"/>
              <w:snapToGrid w:val="0"/>
              <w:spacing w:after="0" w:line="240" w:lineRule="auto"/>
              <w:ind w:firstLine="140"/>
              <w:jc w:val="center"/>
              <w:rPr>
                <w:rFonts w:ascii="仿宋_GB2312" w:hAnsi="仿宋_GB2312" w:eastAsia="仿宋_GB2312" w:cs="仿宋_GB2312"/>
                <w:color w:val="000000"/>
              </w:rPr>
            </w:pPr>
            <w:r>
              <w:rPr>
                <w:rFonts w:hint="eastAsia" w:ascii="仿宋_GB2312" w:hAnsi="仿宋_GB2312" w:eastAsia="仿宋_GB2312" w:cs="仿宋_GB2312"/>
                <w:color w:val="000000"/>
              </w:rPr>
              <w:t>有限公司</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eastAsia="PMingLiU"/>
              </w:rPr>
            </w:pPr>
            <w:r>
              <w:rPr>
                <w:rFonts w:ascii="Times New Roman" w:hAnsi="Times New Roman" w:eastAsia="Times New Roman" w:cs="Times New Roman"/>
                <w:color w:val="000000"/>
              </w:rPr>
              <w:t>201</w:t>
            </w:r>
            <w:r>
              <w:rPr>
                <w:rFonts w:ascii="Times New Roman" w:hAnsi="Times New Roman" w:eastAsia="PMingLiU" w:cs="Times New Roman"/>
                <w:color w:val="000000"/>
              </w:rPr>
              <w:t>6</w:t>
            </w:r>
          </w:p>
        </w:tc>
      </w:tr>
      <w:tr>
        <w:tblPrEx>
          <w:tblCellMar>
            <w:top w:w="0" w:type="dxa"/>
            <w:left w:w="10" w:type="dxa"/>
            <w:bottom w:w="0" w:type="dxa"/>
            <w:right w:w="10" w:type="dxa"/>
          </w:tblCellMar>
        </w:tblPrEx>
        <w:trPr>
          <w:trHeight w:val="401" w:hRule="exact"/>
          <w:jc w:val="center"/>
        </w:trPr>
        <w:tc>
          <w:tcPr>
            <w:tcW w:w="30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pPr>
            <w:r>
              <w:rPr>
                <w:color w:val="000000"/>
              </w:rPr>
              <w:t>优缺点对比</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22"/>
                <w:szCs w:val="22"/>
              </w:rPr>
            </w:pP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22"/>
                <w:szCs w:val="22"/>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22"/>
                <w:szCs w:val="22"/>
              </w:rPr>
            </w:pPr>
          </w:p>
        </w:tc>
      </w:tr>
      <w:tr>
        <w:tblPrEx>
          <w:tblCellMar>
            <w:top w:w="0" w:type="dxa"/>
            <w:left w:w="10" w:type="dxa"/>
            <w:bottom w:w="0" w:type="dxa"/>
            <w:right w:w="10" w:type="dxa"/>
          </w:tblCellMar>
        </w:tblPrEx>
        <w:trPr>
          <w:trHeight w:val="390"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品牌</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22"/>
                <w:szCs w:val="22"/>
              </w:rPr>
            </w:pP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优点</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22"/>
                <w:szCs w:val="22"/>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jc w:val="center"/>
              <w:rPr>
                <w:rFonts w:ascii="黑体" w:hAnsi="黑体" w:eastAsia="黑体" w:cs="黑体"/>
              </w:rPr>
            </w:pPr>
            <w:r>
              <w:rPr>
                <w:rFonts w:hint="eastAsia" w:ascii="黑体" w:hAnsi="黑体" w:eastAsia="黑体" w:cs="黑体"/>
                <w:color w:val="000000"/>
              </w:rPr>
              <w:t>缺点</w:t>
            </w:r>
          </w:p>
        </w:tc>
      </w:tr>
      <w:tr>
        <w:tblPrEx>
          <w:tblCellMar>
            <w:top w:w="0" w:type="dxa"/>
            <w:left w:w="10" w:type="dxa"/>
            <w:bottom w:w="0" w:type="dxa"/>
            <w:right w:w="10" w:type="dxa"/>
          </w:tblCellMar>
        </w:tblPrEx>
        <w:trPr>
          <w:trHeight w:val="582"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瑞士万通ECO</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lang w:val="en-US"/>
              </w:rPr>
              <w:t>非抑制，铵具有更好的响应</w:t>
            </w:r>
            <w:r>
              <w:rPr>
                <w:rFonts w:hint="eastAsia" w:ascii="仿宋_GB2312" w:hAnsi="仿宋_GB2312" w:eastAsia="仿宋_GB2312" w:cs="仿宋_GB2312"/>
                <w:color w:val="000000"/>
                <w:lang w:val="en-US" w:eastAsia="zh-CN"/>
              </w:rPr>
              <w:t>，铵检测线性</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 xml:space="preserve"> </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无</w:t>
            </w:r>
          </w:p>
        </w:tc>
      </w:tr>
      <w:tr>
        <w:tblPrEx>
          <w:tblCellMar>
            <w:top w:w="0" w:type="dxa"/>
            <w:left w:w="10" w:type="dxa"/>
            <w:bottom w:w="0" w:type="dxa"/>
            <w:right w:w="10" w:type="dxa"/>
          </w:tblCellMar>
        </w:tblPrEx>
        <w:trPr>
          <w:trHeight w:val="642"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tcPr>
          <w:p>
            <w:pPr>
              <w:rPr>
                <w:sz w:val="22"/>
                <w:szCs w:val="22"/>
              </w:rPr>
            </w:pPr>
            <w:r>
              <w:rPr>
                <w:rFonts w:hint="eastAsia" w:ascii="仿宋_GB2312" w:hAnsi="仿宋_GB2312" w:eastAsia="仿宋_GB2312" w:cs="仿宋_GB2312"/>
                <w:color w:val="000000"/>
                <w:sz w:val="22"/>
                <w:szCs w:val="22"/>
              </w:rPr>
              <w:t>日本东曹IC-2010</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分辨率较高</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lang w:val="en-US" w:eastAsia="zh-CN"/>
              </w:rPr>
              <w:t>铵检测</w:t>
            </w:r>
            <w:r>
              <w:rPr>
                <w:rFonts w:hint="eastAsia" w:ascii="仿宋_GB2312" w:hAnsi="仿宋_GB2312" w:eastAsia="仿宋_GB2312" w:cs="仿宋_GB2312"/>
                <w:color w:val="000000"/>
              </w:rPr>
              <w:t>非线性，故线性范围很窄</w:t>
            </w:r>
          </w:p>
        </w:tc>
      </w:tr>
      <w:tr>
        <w:tblPrEx>
          <w:tblCellMar>
            <w:top w:w="0" w:type="dxa"/>
            <w:left w:w="10" w:type="dxa"/>
            <w:bottom w:w="0" w:type="dxa"/>
            <w:right w:w="10" w:type="dxa"/>
          </w:tblCellMar>
        </w:tblPrEx>
        <w:trPr>
          <w:trHeight w:val="639"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tcPr>
          <w:p>
            <w:pPr>
              <w:rPr>
                <w:sz w:val="22"/>
                <w:szCs w:val="22"/>
              </w:rPr>
            </w:pPr>
            <w:r>
              <w:rPr>
                <w:rFonts w:hint="eastAsia" w:ascii="仿宋_GB2312" w:hAnsi="仿宋_GB2312" w:eastAsia="仿宋_GB2312" w:cs="仿宋_GB2312"/>
                <w:color w:val="000000"/>
                <w:sz w:val="22"/>
                <w:szCs w:val="22"/>
              </w:rPr>
              <w:t>德国赛卡姆S-150</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hint="eastAsia" w:ascii="仿宋_GB2312" w:hAnsi="仿宋_GB2312" w:eastAsia="仿宋_GB2312" w:cs="仿宋_GB2312"/>
                <w:color w:val="000000"/>
                <w:lang w:eastAsia="zh-CN"/>
              </w:rPr>
            </w:pPr>
            <w:r>
              <w:rPr>
                <w:rFonts w:ascii="Arial Unicode MS" w:hAnsi="Arial Unicode MS"/>
                <w:kern w:val="0"/>
              </w:rPr>
              <w:t>池体积</w:t>
            </w:r>
            <w:r>
              <w:rPr>
                <w:rFonts w:hint="eastAsia" w:ascii="Arial Unicode MS" w:hAnsi="Arial Unicode MS"/>
                <w:kern w:val="0"/>
                <w:lang w:eastAsia="zh-CN"/>
              </w:rPr>
              <w:t>较小</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抑制器</w:t>
            </w:r>
            <w:r>
              <w:rPr>
                <w:rFonts w:ascii="仿宋_GB2312" w:hAnsi="仿宋_GB2312" w:eastAsia="仿宋_GB2312" w:cs="仿宋_GB2312"/>
                <w:color w:val="000000"/>
                <w:lang w:eastAsia="zh-CN"/>
              </w:rPr>
              <w:t>使用的</w:t>
            </w:r>
            <w:r>
              <w:rPr>
                <w:rFonts w:hint="eastAsia" w:ascii="仿宋_GB2312" w:hAnsi="仿宋_GB2312" w:eastAsia="仿宋_GB2312" w:cs="仿宋_GB2312"/>
                <w:color w:val="000000"/>
                <w:lang w:eastAsia="zh-CN"/>
              </w:rPr>
              <w:t>凝胶为消耗品，成本较高</w:t>
            </w:r>
          </w:p>
        </w:tc>
      </w:tr>
      <w:tr>
        <w:tblPrEx>
          <w:tblCellMar>
            <w:top w:w="0" w:type="dxa"/>
            <w:left w:w="10" w:type="dxa"/>
            <w:bottom w:w="0" w:type="dxa"/>
            <w:right w:w="10" w:type="dxa"/>
          </w:tblCellMar>
        </w:tblPrEx>
        <w:trPr>
          <w:trHeight w:val="505" w:hRule="exact"/>
          <w:jc w:val="center"/>
        </w:trPr>
        <w:tc>
          <w:tcPr>
            <w:tcW w:w="9766" w:type="dxa"/>
            <w:gridSpan w:val="7"/>
            <w:tcBorders>
              <w:top w:val="single" w:color="auto" w:sz="4" w:space="0"/>
              <w:left w:val="single" w:color="auto" w:sz="4" w:space="0"/>
              <w:right w:val="single" w:color="auto" w:sz="4" w:space="0"/>
            </w:tcBorders>
            <w:shd w:val="clear" w:color="auto" w:fill="FFFFFF"/>
          </w:tcPr>
          <w:p>
            <w:pPr>
              <w:pStyle w:val="8"/>
              <w:spacing w:after="0" w:line="425" w:lineRule="exact"/>
              <w:ind w:firstLine="0"/>
              <w:jc w:val="left"/>
            </w:pPr>
            <w:r>
              <w:rPr>
                <w:color w:val="000000"/>
              </w:rPr>
              <w:t>同类项目所用仪器设备的优缺点（提供不少于三家制造公司的仪器设备）</w:t>
            </w:r>
          </w:p>
        </w:tc>
      </w:tr>
      <w:tr>
        <w:tblPrEx>
          <w:tblCellMar>
            <w:top w:w="0" w:type="dxa"/>
            <w:left w:w="10" w:type="dxa"/>
            <w:bottom w:w="0" w:type="dxa"/>
            <w:right w:w="10" w:type="dxa"/>
          </w:tblCellMar>
        </w:tblPrEx>
        <w:trPr>
          <w:trHeight w:val="663" w:hRule="exact"/>
          <w:jc w:val="center"/>
        </w:trPr>
        <w:tc>
          <w:tcPr>
            <w:tcW w:w="991"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类别</w:t>
            </w:r>
          </w:p>
        </w:tc>
        <w:tc>
          <w:tcPr>
            <w:tcW w:w="208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项目</w:t>
            </w:r>
          </w:p>
        </w:tc>
        <w:tc>
          <w:tcPr>
            <w:tcW w:w="2220" w:type="dxa"/>
            <w:tcBorders>
              <w:top w:val="single" w:color="auto" w:sz="4" w:space="0"/>
              <w:left w:val="single" w:color="auto" w:sz="4" w:space="0"/>
            </w:tcBorders>
            <w:shd w:val="clear" w:color="auto" w:fill="FFFFFF"/>
            <w:vAlign w:val="bottom"/>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瑞士万通ECO</w:t>
            </w:r>
          </w:p>
        </w:tc>
        <w:tc>
          <w:tcPr>
            <w:tcW w:w="2235" w:type="dxa"/>
            <w:gridSpan w:val="2"/>
            <w:tcBorders>
              <w:top w:val="single" w:color="auto" w:sz="4" w:space="0"/>
              <w:left w:val="single" w:color="auto" w:sz="4" w:space="0"/>
            </w:tcBorders>
            <w:shd w:val="clear" w:color="auto" w:fill="FFFFFF"/>
            <w:vAlign w:val="bottom"/>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日本东曹IC-2010</w:t>
            </w:r>
          </w:p>
        </w:tc>
        <w:tc>
          <w:tcPr>
            <w:tcW w:w="2235" w:type="dxa"/>
            <w:gridSpan w:val="2"/>
            <w:tcBorders>
              <w:top w:val="single" w:color="auto" w:sz="4" w:space="0"/>
              <w:left w:val="single" w:color="auto" w:sz="4" w:space="0"/>
              <w:right w:val="single" w:color="auto" w:sz="4" w:space="0"/>
            </w:tcBorders>
            <w:shd w:val="clear" w:color="auto" w:fill="FFFFFF"/>
            <w:vAlign w:val="bottom"/>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德国赛卡姆S-150</w:t>
            </w:r>
          </w:p>
        </w:tc>
      </w:tr>
      <w:tr>
        <w:tblPrEx>
          <w:tblCellMar>
            <w:top w:w="0" w:type="dxa"/>
            <w:left w:w="10" w:type="dxa"/>
            <w:bottom w:w="0" w:type="dxa"/>
            <w:right w:w="10" w:type="dxa"/>
          </w:tblCellMar>
        </w:tblPrEx>
        <w:trPr>
          <w:trHeight w:val="667" w:hRule="atLeast"/>
          <w:jc w:val="center"/>
        </w:trPr>
        <w:tc>
          <w:tcPr>
            <w:tcW w:w="991" w:type="dxa"/>
            <w:vMerge w:val="restart"/>
            <w:tcBorders>
              <w:top w:val="single" w:color="auto" w:sz="4" w:space="0"/>
              <w:left w:val="single" w:color="auto" w:sz="4" w:space="0"/>
            </w:tcBorders>
            <w:shd w:val="clear" w:color="auto" w:fill="FFFFFF"/>
            <w:vAlign w:val="center"/>
          </w:tcPr>
          <w:p>
            <w:pPr>
              <w:pStyle w:val="8"/>
              <w:spacing w:after="0" w:line="324"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主要性能</w:t>
            </w:r>
          </w:p>
          <w:p>
            <w:pPr>
              <w:pStyle w:val="8"/>
              <w:spacing w:after="0" w:line="324"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指标</w:t>
            </w:r>
          </w:p>
        </w:tc>
        <w:tc>
          <w:tcPr>
            <w:tcW w:w="2085"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高压泵</w:t>
            </w:r>
            <w:r>
              <w:rPr>
                <w:rFonts w:ascii="Arial Unicode MS" w:hAnsi="Arial Unicode MS" w:cs="宋体"/>
                <w:kern w:val="0"/>
                <w:sz w:val="22"/>
                <w:szCs w:val="22"/>
              </w:rPr>
              <w:t>最大压力(Mpa)</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50Mpa</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40Mpa</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ascii="Arial Unicode MS" w:hAnsi="Arial Unicode MS" w:cs="宋体"/>
                <w:kern w:val="0"/>
                <w:sz w:val="22"/>
                <w:szCs w:val="22"/>
              </w:rPr>
              <w:t>35Mpa</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jc w:val="cente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流速增量，即最小分度值(ml/min)</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0.001ml/min</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0.001ml/min</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ascii="Arial Unicode MS" w:hAnsi="Arial Unicode MS" w:cs="宋体"/>
                <w:kern w:val="0"/>
                <w:sz w:val="22"/>
                <w:szCs w:val="22"/>
              </w:rPr>
              <w:t>0.01ml/min</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流速范围(ml/min)</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0.001~20.0ml/min</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0.00~10.00ml/min</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ascii="Arial Unicode MS" w:hAnsi="Arial Unicode MS" w:cs="宋体"/>
                <w:kern w:val="0"/>
                <w:sz w:val="22"/>
                <w:szCs w:val="22"/>
              </w:rPr>
              <w:t>0.1-2.00 mL/min</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重现性</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&lt; 0.1 %</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&lt;0.1%</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w:t>
            </w:r>
            <w:r>
              <w:rPr>
                <w:rFonts w:ascii="Arial Unicode MS" w:hAnsi="Arial Unicode MS" w:cs="宋体"/>
                <w:kern w:val="0"/>
                <w:sz w:val="22"/>
                <w:szCs w:val="22"/>
              </w:rPr>
              <w:t>0.2%</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高压泵</w:t>
            </w:r>
            <w:r>
              <w:rPr>
                <w:rFonts w:ascii="Arial Unicode MS" w:hAnsi="Arial Unicode MS" w:cs="宋体"/>
                <w:kern w:val="0"/>
                <w:sz w:val="22"/>
                <w:szCs w:val="22"/>
              </w:rPr>
              <w:t>最大压力(Mpa)</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50Mpa</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40Mpa</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ascii="Arial Unicode MS" w:hAnsi="Arial Unicode MS" w:cs="宋体"/>
                <w:kern w:val="0"/>
                <w:sz w:val="22"/>
                <w:szCs w:val="22"/>
              </w:rPr>
              <w:t>35Mpa</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池体积</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0.8uL</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0.76μL</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≤0.6 µL</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流速增量，即最小分度值(ml/min)</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0.001ml/min</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0.001ml/min</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ascii="Arial Unicode MS" w:hAnsi="Arial Unicode MS" w:cs="宋体"/>
                <w:kern w:val="0"/>
                <w:sz w:val="22"/>
                <w:szCs w:val="22"/>
              </w:rPr>
              <w:t>0.01ml/min</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量程</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0-15000us/cm</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0–20000us/cm</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50.500.5000μS三档可选</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分辨率</w:t>
            </w:r>
          </w:p>
        </w:tc>
        <w:tc>
          <w:tcPr>
            <w:tcW w:w="2220" w:type="dxa"/>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0.0047ns/cm</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0.00238nS/cm</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ascii="Arial Unicode MS" w:hAnsi="Arial Unicode MS" w:cs="宋体"/>
                <w:kern w:val="0"/>
                <w:sz w:val="22"/>
                <w:szCs w:val="22"/>
              </w:rPr>
              <w:t>0.01 nS/cm</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基线噪音（连接抑制器实际检测）</w:t>
            </w:r>
          </w:p>
        </w:tc>
        <w:tc>
          <w:tcPr>
            <w:tcW w:w="2220"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＜0.2</w:t>
            </w:r>
            <w:r>
              <w:rPr>
                <w:rFonts w:ascii="Arial Unicode MS" w:hAnsi="Arial Unicode MS" w:cs="宋体"/>
                <w:kern w:val="0"/>
                <w:sz w:val="22"/>
                <w:szCs w:val="22"/>
              </w:rPr>
              <w:t xml:space="preserve"> ns/cm</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ascii="Arial Unicode MS" w:hAnsi="Arial Unicode MS" w:cs="宋体"/>
                <w:kern w:val="0"/>
                <w:sz w:val="22"/>
                <w:szCs w:val="22"/>
              </w:rPr>
              <w:t>1 ns/cm</w:t>
            </w:r>
            <w:r>
              <w:rPr>
                <w:rFonts w:hint="eastAsia" w:ascii="Arial Unicode MS" w:hAnsi="Arial Unicode MS" w:cs="宋体"/>
                <w:kern w:val="0"/>
                <w:sz w:val="22"/>
                <w:szCs w:val="22"/>
              </w:rPr>
              <w:t>以上</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无此指标</w:t>
            </w:r>
          </w:p>
        </w:tc>
      </w:tr>
      <w:tr>
        <w:tblPrEx>
          <w:tblCellMar>
            <w:top w:w="0" w:type="dxa"/>
            <w:left w:w="10" w:type="dxa"/>
            <w:bottom w:w="0" w:type="dxa"/>
            <w:right w:w="10" w:type="dxa"/>
          </w:tblCellMar>
        </w:tblPrEx>
        <w:trPr>
          <w:trHeight w:val="667" w:hRule="atLeast"/>
          <w:jc w:val="center"/>
        </w:trPr>
        <w:tc>
          <w:tcPr>
            <w:tcW w:w="991" w:type="dxa"/>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阳离子</w:t>
            </w:r>
            <w:r>
              <w:rPr>
                <w:rFonts w:ascii="Arial Unicode MS" w:hAnsi="Arial Unicode MS" w:cs="宋体"/>
                <w:kern w:val="0"/>
                <w:sz w:val="22"/>
                <w:szCs w:val="22"/>
              </w:rPr>
              <w:t>抑制技术</w:t>
            </w:r>
          </w:p>
        </w:tc>
        <w:tc>
          <w:tcPr>
            <w:tcW w:w="2220"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独家</w:t>
            </w:r>
            <w:r>
              <w:rPr>
                <w:rFonts w:ascii="Arial Unicode MS" w:hAnsi="Arial Unicode MS" w:cs="宋体"/>
                <w:kern w:val="0"/>
                <w:sz w:val="22"/>
                <w:szCs w:val="22"/>
              </w:rPr>
              <w:t>非抑制</w:t>
            </w:r>
            <w:r>
              <w:rPr>
                <w:rFonts w:hint="eastAsia" w:ascii="Arial Unicode MS" w:hAnsi="Arial Unicode MS" w:cs="宋体"/>
                <w:kern w:val="0"/>
                <w:sz w:val="22"/>
                <w:szCs w:val="22"/>
              </w:rPr>
              <w:t>电导检测</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hint="eastAsia" w:ascii="宋体" w:hAnsi="宋体"/>
                <w:sz w:val="22"/>
                <w:szCs w:val="22"/>
              </w:rPr>
              <w:t>需要配置抑制器，自动再生官腔抑制器</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需要配置抑制器，凝胶抑制器</w:t>
            </w:r>
          </w:p>
        </w:tc>
      </w:tr>
      <w:tr>
        <w:tblPrEx>
          <w:tblCellMar>
            <w:top w:w="0" w:type="dxa"/>
            <w:left w:w="10" w:type="dxa"/>
            <w:bottom w:w="0" w:type="dxa"/>
            <w:right w:w="10" w:type="dxa"/>
          </w:tblCellMar>
        </w:tblPrEx>
        <w:trPr>
          <w:trHeight w:val="667" w:hRule="atLeast"/>
          <w:jc w:val="center"/>
        </w:trPr>
        <w:tc>
          <w:tcPr>
            <w:tcW w:w="991" w:type="dxa"/>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铵响应</w:t>
            </w:r>
          </w:p>
        </w:tc>
        <w:tc>
          <w:tcPr>
            <w:tcW w:w="2220"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非抑制，铵具有更好的响应</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化学抑制后铵响应下降</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化学抑制后铵响应下降</w:t>
            </w:r>
          </w:p>
        </w:tc>
      </w:tr>
      <w:tr>
        <w:tblPrEx>
          <w:tblCellMar>
            <w:top w:w="0" w:type="dxa"/>
            <w:left w:w="10" w:type="dxa"/>
            <w:bottom w:w="0" w:type="dxa"/>
            <w:right w:w="10" w:type="dxa"/>
          </w:tblCellMar>
        </w:tblPrEx>
        <w:trPr>
          <w:trHeight w:val="667" w:hRule="atLeast"/>
          <w:jc w:val="center"/>
        </w:trPr>
        <w:tc>
          <w:tcPr>
            <w:tcW w:w="991" w:type="dxa"/>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铵检测线性</w:t>
            </w:r>
          </w:p>
        </w:tc>
        <w:tc>
          <w:tcPr>
            <w:tcW w:w="2220" w:type="dxa"/>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线性</w:t>
            </w:r>
          </w:p>
        </w:tc>
        <w:tc>
          <w:tcPr>
            <w:tcW w:w="2235" w:type="dxa"/>
            <w:gridSpan w:val="2"/>
            <w:tcBorders>
              <w:top w:val="single" w:color="auto" w:sz="4" w:space="0"/>
              <w:lef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非线性，故线性范围很窄</w:t>
            </w:r>
          </w:p>
        </w:tc>
        <w:tc>
          <w:tcPr>
            <w:tcW w:w="2235" w:type="dxa"/>
            <w:gridSpan w:val="2"/>
            <w:tcBorders>
              <w:top w:val="single" w:color="auto" w:sz="4" w:space="0"/>
              <w:left w:val="single" w:color="auto" w:sz="4" w:space="0"/>
              <w:right w:val="single" w:color="auto" w:sz="4" w:space="0"/>
            </w:tcBorders>
            <w:shd w:val="clear" w:color="auto" w:fill="FFFFFF"/>
          </w:tcPr>
          <w:p>
            <w:pPr>
              <w:jc w:val="center"/>
              <w:rPr>
                <w:sz w:val="22"/>
                <w:szCs w:val="22"/>
              </w:rPr>
            </w:pPr>
            <w:r>
              <w:rPr>
                <w:rFonts w:hint="eastAsia" w:ascii="Arial Unicode MS" w:hAnsi="Arial Unicode MS" w:cs="宋体"/>
                <w:kern w:val="0"/>
                <w:sz w:val="22"/>
                <w:szCs w:val="22"/>
              </w:rPr>
              <w:t>非线性，故线性范围很窄</w:t>
            </w:r>
          </w:p>
        </w:tc>
      </w:tr>
      <w:tr>
        <w:tblPrEx>
          <w:tblCellMar>
            <w:top w:w="0" w:type="dxa"/>
            <w:left w:w="10" w:type="dxa"/>
            <w:bottom w:w="0" w:type="dxa"/>
            <w:right w:w="10" w:type="dxa"/>
          </w:tblCellMar>
        </w:tblPrEx>
        <w:trPr>
          <w:trHeight w:val="667" w:hRule="atLeast"/>
          <w:jc w:val="center"/>
        </w:trPr>
        <w:tc>
          <w:tcPr>
            <w:tcW w:w="991" w:type="dxa"/>
            <w:vMerge w:val="restart"/>
            <w:tcBorders>
              <w:top w:val="single" w:color="auto" w:sz="4" w:space="0"/>
              <w:left w:val="single" w:color="auto" w:sz="4" w:space="0"/>
            </w:tcBorders>
            <w:shd w:val="clear" w:color="auto" w:fill="FFFFFF"/>
            <w:vAlign w:val="center"/>
          </w:tcPr>
          <w:p>
            <w:pPr>
              <w:pStyle w:val="8"/>
              <w:spacing w:after="0" w:line="313"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市场情况</w:t>
            </w:r>
          </w:p>
          <w:p>
            <w:pPr>
              <w:pStyle w:val="8"/>
              <w:spacing w:after="0" w:line="313"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和价格比</w:t>
            </w:r>
          </w:p>
          <w:p>
            <w:pPr>
              <w:pStyle w:val="8"/>
              <w:spacing w:after="0" w:line="313"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较</w:t>
            </w:r>
          </w:p>
        </w:tc>
        <w:tc>
          <w:tcPr>
            <w:tcW w:w="2085" w:type="dxa"/>
            <w:tcBorders>
              <w:top w:val="single" w:color="auto" w:sz="4" w:space="0"/>
              <w:lef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市场情况</w:t>
            </w:r>
          </w:p>
        </w:tc>
        <w:tc>
          <w:tcPr>
            <w:tcW w:w="2220" w:type="dxa"/>
            <w:tcBorders>
              <w:top w:val="single" w:color="auto" w:sz="4" w:space="0"/>
              <w:lef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研发机构使用较多</w:t>
            </w:r>
          </w:p>
        </w:tc>
        <w:tc>
          <w:tcPr>
            <w:tcW w:w="2235" w:type="dxa"/>
            <w:gridSpan w:val="2"/>
            <w:tcBorders>
              <w:top w:val="single" w:color="auto" w:sz="4" w:space="0"/>
              <w:lef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部分</w:t>
            </w:r>
            <w:r>
              <w:rPr>
                <w:rFonts w:hint="eastAsia" w:ascii="仿宋_GB2312" w:hAnsi="仿宋_GB2312" w:eastAsia="仿宋_GB2312" w:cs="仿宋_GB2312"/>
                <w:color w:val="000000"/>
                <w:lang w:eastAsia="zh-CN"/>
              </w:rPr>
              <w:t>高校</w:t>
            </w:r>
            <w:r>
              <w:rPr>
                <w:rFonts w:hint="eastAsia" w:ascii="仿宋_GB2312" w:hAnsi="仿宋_GB2312" w:eastAsia="仿宋_GB2312" w:cs="仿宋_GB2312"/>
                <w:color w:val="000000"/>
              </w:rPr>
              <w:t>使用</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使用单位很少</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sz w:val="22"/>
                <w:szCs w:val="22"/>
              </w:rPr>
            </w:pPr>
          </w:p>
        </w:tc>
        <w:tc>
          <w:tcPr>
            <w:tcW w:w="2085" w:type="dxa"/>
            <w:tcBorders>
              <w:top w:val="single" w:color="auto" w:sz="4" w:space="0"/>
              <w:lef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价格</w:t>
            </w:r>
          </w:p>
        </w:tc>
        <w:tc>
          <w:tcPr>
            <w:tcW w:w="2220" w:type="dxa"/>
            <w:tcBorders>
              <w:top w:val="single" w:color="auto" w:sz="4" w:space="0"/>
              <w:lef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ascii="仿宋_GB2312" w:hAnsi="仿宋_GB2312" w:eastAsia="PMingLiU" w:cs="仿宋_GB2312"/>
                <w:b/>
                <w:bCs/>
                <w:color w:val="000000"/>
              </w:rPr>
              <w:t>31</w:t>
            </w:r>
            <w:r>
              <w:rPr>
                <w:rFonts w:hint="eastAsia" w:ascii="仿宋_GB2312" w:hAnsi="仿宋_GB2312" w:eastAsia="仿宋_GB2312" w:cs="仿宋_GB2312"/>
                <w:color w:val="000000"/>
              </w:rPr>
              <w:t>万</w:t>
            </w:r>
          </w:p>
        </w:tc>
        <w:tc>
          <w:tcPr>
            <w:tcW w:w="2235" w:type="dxa"/>
            <w:gridSpan w:val="2"/>
            <w:tcBorders>
              <w:top w:val="single" w:color="auto" w:sz="4" w:space="0"/>
              <w:lef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ascii="仿宋_GB2312" w:hAnsi="仿宋_GB2312" w:eastAsia="PMingLiU" w:cs="仿宋_GB2312"/>
                <w:b/>
                <w:bCs/>
                <w:color w:val="000000"/>
              </w:rPr>
              <w:t>32</w:t>
            </w:r>
            <w:r>
              <w:rPr>
                <w:rFonts w:hint="eastAsia" w:ascii="仿宋_GB2312" w:hAnsi="仿宋_GB2312" w:eastAsia="仿宋_GB2312" w:cs="仿宋_GB2312"/>
                <w:color w:val="000000"/>
              </w:rPr>
              <w:t>万</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spacing w:after="0" w:line="240" w:lineRule="auto"/>
              <w:ind w:firstLine="0"/>
              <w:jc w:val="center"/>
              <w:rPr>
                <w:rFonts w:ascii="仿宋_GB2312" w:hAnsi="仿宋_GB2312" w:eastAsia="仿宋_GB2312" w:cs="仿宋_GB2312"/>
              </w:rPr>
            </w:pPr>
            <w:r>
              <w:rPr>
                <w:rFonts w:ascii="仿宋_GB2312" w:hAnsi="仿宋_GB2312" w:eastAsia="仿宋_GB2312" w:cs="仿宋_GB2312"/>
                <w:b/>
                <w:bCs/>
                <w:color w:val="000000"/>
                <w:lang w:val="en-US" w:eastAsia="en-US" w:bidi="en-US"/>
              </w:rPr>
              <w:t>34.996</w:t>
            </w:r>
            <w:r>
              <w:rPr>
                <w:rFonts w:hint="eastAsia" w:ascii="仿宋_GB2312" w:hAnsi="仿宋_GB2312" w:eastAsia="仿宋_GB2312" w:cs="仿宋_GB2312"/>
                <w:b/>
                <w:bCs/>
                <w:color w:val="000000"/>
                <w:lang w:val="en-US" w:eastAsia="en-US" w:bidi="en-US"/>
              </w:rPr>
              <w:t xml:space="preserve"> </w:t>
            </w:r>
            <w:r>
              <w:rPr>
                <w:rFonts w:hint="eastAsia" w:ascii="仿宋_GB2312" w:hAnsi="仿宋_GB2312" w:eastAsia="仿宋_GB2312" w:cs="仿宋_GB2312"/>
                <w:color w:val="000000"/>
              </w:rPr>
              <w:t>万</w:t>
            </w:r>
          </w:p>
        </w:tc>
      </w:tr>
      <w:tr>
        <w:tblPrEx>
          <w:tblCellMar>
            <w:top w:w="0" w:type="dxa"/>
            <w:left w:w="10" w:type="dxa"/>
            <w:bottom w:w="0" w:type="dxa"/>
            <w:right w:w="10" w:type="dxa"/>
          </w:tblCellMar>
        </w:tblPrEx>
        <w:trPr>
          <w:trHeight w:val="801" w:hRule="exact"/>
          <w:jc w:val="center"/>
        </w:trPr>
        <w:tc>
          <w:tcPr>
            <w:tcW w:w="991" w:type="dxa"/>
            <w:tcBorders>
              <w:top w:val="single" w:color="auto" w:sz="4" w:space="0"/>
              <w:left w:val="single" w:color="auto" w:sz="4" w:space="0"/>
              <w:bottom w:val="single" w:color="auto" w:sz="4" w:space="0"/>
            </w:tcBorders>
            <w:shd w:val="clear" w:color="auto" w:fill="FFFFFF"/>
            <w:vAlign w:val="center"/>
          </w:tcPr>
          <w:p>
            <w:pPr>
              <w:pStyle w:val="8"/>
              <w:spacing w:after="0" w:line="240"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售后服务</w:t>
            </w:r>
          </w:p>
        </w:tc>
        <w:tc>
          <w:tcPr>
            <w:tcW w:w="2085" w:type="dxa"/>
            <w:tcBorders>
              <w:top w:val="single" w:color="auto" w:sz="4" w:space="0"/>
              <w:left w:val="single" w:color="auto" w:sz="4" w:space="0"/>
              <w:bottom w:val="single" w:color="auto" w:sz="4" w:space="0"/>
            </w:tcBorders>
            <w:shd w:val="clear" w:color="auto" w:fill="FFFFFF"/>
            <w:vAlign w:val="center"/>
          </w:tcPr>
          <w:p>
            <w:pPr>
              <w:pStyle w:val="8"/>
              <w:spacing w:after="0" w:line="240"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技术支持及</w:t>
            </w:r>
          </w:p>
          <w:p>
            <w:pPr>
              <w:pStyle w:val="8"/>
              <w:spacing w:after="0" w:line="240"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服务响应</w:t>
            </w:r>
          </w:p>
        </w:tc>
        <w:tc>
          <w:tcPr>
            <w:tcW w:w="2220" w:type="dxa"/>
            <w:tcBorders>
              <w:top w:val="single" w:color="auto" w:sz="4" w:space="0"/>
              <w:left w:val="single" w:color="auto" w:sz="4" w:space="0"/>
              <w:bottom w:val="single" w:color="auto" w:sz="4" w:space="0"/>
            </w:tcBorders>
            <w:shd w:val="clear" w:color="auto" w:fill="FFFFFF"/>
            <w:vAlign w:val="center"/>
          </w:tcPr>
          <w:p>
            <w:pPr>
              <w:jc w:val="center"/>
              <w:rPr>
                <w:sz w:val="22"/>
                <w:szCs w:val="22"/>
              </w:rPr>
            </w:pPr>
            <w:r>
              <w:rPr>
                <w:rFonts w:ascii="Arial Unicode MS" w:hAnsi="Arial Unicode MS" w:cs="宋体"/>
                <w:kern w:val="0"/>
                <w:sz w:val="22"/>
                <w:szCs w:val="22"/>
              </w:rPr>
              <w:t>厦门、福州均常驻工程师可以提供本地化服务</w:t>
            </w:r>
          </w:p>
        </w:tc>
        <w:tc>
          <w:tcPr>
            <w:tcW w:w="2235" w:type="dxa"/>
            <w:gridSpan w:val="2"/>
            <w:tcBorders>
              <w:top w:val="single" w:color="auto" w:sz="4" w:space="0"/>
              <w:left w:val="single" w:color="auto" w:sz="4" w:space="0"/>
              <w:bottom w:val="single" w:color="auto" w:sz="4" w:space="0"/>
            </w:tcBorders>
            <w:shd w:val="clear" w:color="auto" w:fill="FFFFFF"/>
            <w:vAlign w:val="center"/>
          </w:tcPr>
          <w:p>
            <w:pPr>
              <w:jc w:val="center"/>
              <w:rPr>
                <w:sz w:val="22"/>
                <w:szCs w:val="22"/>
              </w:rPr>
            </w:pPr>
            <w:r>
              <w:rPr>
                <w:rFonts w:hint="eastAsia" w:ascii="Arial Unicode MS" w:hAnsi="Arial Unicode MS" w:cs="宋体"/>
                <w:kern w:val="0"/>
                <w:sz w:val="22"/>
                <w:szCs w:val="22"/>
              </w:rPr>
              <w:t>无本地化服务，需从上海支援，成本高，响应慢</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2"/>
                <w:szCs w:val="22"/>
              </w:rPr>
            </w:pPr>
            <w:r>
              <w:rPr>
                <w:rFonts w:hint="eastAsia" w:ascii="Arial Unicode MS" w:hAnsi="Arial Unicode MS" w:cs="宋体"/>
                <w:kern w:val="0"/>
                <w:sz w:val="22"/>
                <w:szCs w:val="22"/>
              </w:rPr>
              <w:t>无本地化服务，需从上海支援，成本高，响应慢</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实验室具备电（220V单相电源）、通风（排气系统）、实验平台（尺寸大于50 x 55 cm, 可以承32Kg以上的设备）等安装条件。</w:t>
      </w:r>
    </w:p>
    <w:p>
      <w:pPr>
        <w:pStyle w:val="6"/>
        <w:keepNext/>
        <w:keepLines/>
        <w:spacing w:after="80" w:line="240" w:lineRule="auto"/>
        <w:jc w:val="left"/>
      </w:pPr>
      <w:r>
        <w:rPr>
          <w:color w:val="000000"/>
        </w:rPr>
        <w:t>所购置仪器设备的安全性分析</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该设备使用过程无放射物产生，可能产生少量废气可由通风净化系统处理，不会产生安全性问题。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9"/>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2B1651"/>
    <w:rsid w:val="00381E33"/>
    <w:rsid w:val="004E5283"/>
    <w:rsid w:val="00EB7E60"/>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5">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7">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8">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9">
    <w:name w:val="Header or footer|2"/>
    <w:basedOn w:val="1"/>
    <w:qFormat/>
    <w:uiPriority w:val="0"/>
    <w:rPr>
      <w:sz w:val="20"/>
      <w:szCs w:val="20"/>
      <w:lang w:val="zh-TW" w:eastAsia="zh-TW" w:bidi="zh-TW"/>
    </w:rPr>
  </w:style>
  <w:style w:type="paragraph" w:customStyle="1" w:styleId="10">
    <w:name w:val="Body text|2"/>
    <w:basedOn w:val="1"/>
    <w:qFormat/>
    <w:uiPriority w:val="0"/>
    <w:pPr>
      <w:spacing w:line="736" w:lineRule="exact"/>
      <w:ind w:left="340" w:hanging="34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227</Words>
  <Characters>1298</Characters>
  <Lines>10</Lines>
  <Paragraphs>3</Paragraphs>
  <TotalTime>15</TotalTime>
  <ScaleCrop>false</ScaleCrop>
  <LinksUpToDate>false</LinksUpToDate>
  <CharactersWithSpaces>1522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2021-12-07T00:46:08Z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