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36"/>
          <w:szCs w:val="36"/>
          <w:shd w:val="clear" w:color="auto" w:fill="FFFFFF"/>
        </w:rPr>
      </w:pPr>
      <w:r>
        <w:rPr>
          <w:rFonts w:hint="eastAsia" w:ascii="方正小标宋简体" w:hAnsi="方正小标宋简体" w:eastAsia="方正小标宋简体" w:cs="方正小标宋简体"/>
          <w:b/>
          <w:bCs/>
          <w:color w:val="000000"/>
          <w:sz w:val="36"/>
          <w:szCs w:val="36"/>
        </w:rPr>
        <w:t>清源创新实验室红外气体分析仪采购需求概况</w:t>
      </w:r>
    </w:p>
    <w:p>
      <w:pPr>
        <w:widowControl/>
        <w:snapToGrid w:val="0"/>
        <w:spacing w:line="276" w:lineRule="auto"/>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一、项目概况（采购标的）</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本项目为红外气体分析仪采购。项目课题中，需要对科研项目包括</w:t>
      </w:r>
      <w:bookmarkStart w:id="0" w:name="_Hlk89529265"/>
      <w:r>
        <w:rPr>
          <w:rFonts w:hint="eastAsia" w:ascii="仿宋_GB2312" w:hAnsi="仿宋_GB2312" w:eastAsia="仿宋_GB2312" w:cs="仿宋_GB2312"/>
          <w:sz w:val="32"/>
          <w:szCs w:val="32"/>
        </w:rPr>
        <w:t>氨分解、氨-氢燃料电池、氨固体氧化物燃料电池、氨氧化反应过程以及催化剂或吸附剂脱除含氮气体等过程的气体成分及含量进行精确的在线分析</w:t>
      </w:r>
      <w:bookmarkEnd w:id="0"/>
      <w:r>
        <w:rPr>
          <w:rFonts w:hint="eastAsia" w:ascii="仿宋_GB2312" w:hAnsi="仿宋_GB2312" w:eastAsia="仿宋_GB2312" w:cs="仿宋_GB2312"/>
          <w:sz w:val="32"/>
          <w:szCs w:val="32"/>
        </w:rPr>
        <w:t>。红外气体分析仪可</w:t>
      </w:r>
      <w:bookmarkStart w:id="1" w:name="_Hlk89529508"/>
      <w:r>
        <w:rPr>
          <w:rFonts w:hint="eastAsia" w:ascii="仿宋_GB2312" w:hAnsi="仿宋_GB2312" w:eastAsia="仿宋_GB2312" w:cs="仿宋_GB2312"/>
          <w:sz w:val="32"/>
          <w:szCs w:val="32"/>
        </w:rPr>
        <w:t>通过红外的特征吸收谱图及吸收强度</w:t>
      </w:r>
      <w:bookmarkEnd w:id="1"/>
      <w:r>
        <w:rPr>
          <w:rFonts w:hint="eastAsia" w:ascii="仿宋_GB2312" w:hAnsi="仿宋_GB2312" w:eastAsia="仿宋_GB2312" w:cs="仿宋_GB2312"/>
          <w:sz w:val="32"/>
          <w:szCs w:val="32"/>
        </w:rPr>
        <w:t>，</w:t>
      </w:r>
      <w:bookmarkStart w:id="2" w:name="_Hlk89529452"/>
      <w:r>
        <w:rPr>
          <w:rFonts w:hint="eastAsia" w:ascii="仿宋_GB2312" w:hAnsi="仿宋_GB2312" w:eastAsia="仿宋_GB2312" w:cs="仿宋_GB2312"/>
          <w:sz w:val="32"/>
          <w:szCs w:val="32"/>
        </w:rPr>
        <w:t>快速准确判读未知气体（如NH</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、NO</w:t>
      </w:r>
      <w:r>
        <w:rPr>
          <w:rFonts w:hint="eastAsia" w:ascii="仿宋_GB2312" w:hAnsi="仿宋_GB2312" w:eastAsia="仿宋_GB2312" w:cs="仿宋_GB2312"/>
          <w:sz w:val="32"/>
          <w:szCs w:val="32"/>
          <w:vertAlign w:val="subscript"/>
        </w:rPr>
        <w:t>x</w:t>
      </w:r>
      <w:r>
        <w:rPr>
          <w:rFonts w:hint="eastAsia" w:ascii="仿宋_GB2312" w:hAnsi="仿宋_GB2312" w:eastAsia="仿宋_GB2312" w:cs="仿宋_GB2312"/>
          <w:sz w:val="32"/>
          <w:szCs w:val="32"/>
        </w:rPr>
        <w:t>等）样品成分及浓度，反应灵敏，测试精度高</w:t>
      </w:r>
      <w:bookmarkEnd w:id="2"/>
      <w:r>
        <w:rPr>
          <w:rFonts w:hint="eastAsia" w:ascii="仿宋_GB2312" w:hAnsi="仿宋_GB2312" w:eastAsia="仿宋_GB2312" w:cs="仿宋_GB2312"/>
          <w:sz w:val="32"/>
          <w:szCs w:val="32"/>
        </w:rPr>
        <w:t>。拟采购的红外气体分析仪设备在项目中承担氨分解催化剂、吸附剂开发和氨-燃料电池等反应体系的气体检测任务；同时，该设备还能为本科生、研究生实验及教学、科研、其它学科建设等提供服务促进各分团队的学科建设及人才培养。</w:t>
      </w:r>
    </w:p>
    <w:p>
      <w:pPr>
        <w:keepNext w:val="0"/>
        <w:keepLines w:val="0"/>
        <w:pageBreakBefore w:val="0"/>
        <w:widowControl/>
        <w:numPr>
          <w:ilvl w:val="0"/>
          <w:numId w:val="1"/>
        </w:numPr>
        <w:kinsoku/>
        <w:wordWrap/>
        <w:overflowPunct/>
        <w:topLinePunct w:val="0"/>
        <w:autoSpaceDE/>
        <w:autoSpaceDN/>
        <w:bidi w:val="0"/>
        <w:snapToGrid w:val="0"/>
        <w:spacing w:line="48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技术和服务要求</w:t>
      </w:r>
    </w:p>
    <w:p>
      <w:pPr>
        <w:keepNext w:val="0"/>
        <w:keepLines w:val="0"/>
        <w:pageBreakBefore w:val="0"/>
        <w:widowControl/>
        <w:kinsoku/>
        <w:wordWrap/>
        <w:overflowPunct/>
        <w:topLinePunct w:val="0"/>
        <w:autoSpaceDE/>
        <w:autoSpaceDN/>
        <w:bidi w:val="0"/>
        <w:snapToGrid w:val="0"/>
        <w:spacing w:line="480" w:lineRule="exact"/>
        <w:ind w:firstLine="602" w:firstLineChars="200"/>
        <w:textAlignment w:val="auto"/>
        <w:rPr>
          <w:rFonts w:hint="eastAsia" w:ascii="黑体" w:hAnsi="黑体" w:eastAsia="黑体" w:cs="黑体"/>
          <w:b/>
          <w:bCs/>
          <w:kern w:val="0"/>
          <w:sz w:val="30"/>
          <w:szCs w:val="30"/>
        </w:rPr>
      </w:pPr>
      <w:r>
        <w:rPr>
          <w:rFonts w:hint="eastAsia" w:cs="宋体" w:asciiTheme="minorEastAsia" w:hAnsiTheme="minorEastAsia"/>
          <w:b/>
          <w:bCs/>
          <w:kern w:val="0"/>
          <w:sz w:val="30"/>
          <w:szCs w:val="30"/>
        </w:rPr>
        <w:t>(一)采购清单</w:t>
      </w:r>
    </w:p>
    <w:tbl>
      <w:tblPr>
        <w:tblStyle w:val="4"/>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207"/>
        <w:gridCol w:w="994"/>
        <w:gridCol w:w="4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82" w:type="pct"/>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采购标的</w:t>
            </w:r>
          </w:p>
        </w:tc>
        <w:tc>
          <w:tcPr>
            <w:tcW w:w="737" w:type="pct"/>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单位</w:t>
            </w:r>
          </w:p>
        </w:tc>
        <w:tc>
          <w:tcPr>
            <w:tcW w:w="607" w:type="pct"/>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数量</w:t>
            </w:r>
          </w:p>
        </w:tc>
        <w:tc>
          <w:tcPr>
            <w:tcW w:w="2772" w:type="pct"/>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2"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红外气体分析仪</w:t>
            </w:r>
          </w:p>
        </w:tc>
        <w:tc>
          <w:tcPr>
            <w:tcW w:w="737"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套</w:t>
            </w:r>
          </w:p>
        </w:tc>
        <w:tc>
          <w:tcPr>
            <w:tcW w:w="607"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1</w:t>
            </w:r>
          </w:p>
        </w:tc>
        <w:tc>
          <w:tcPr>
            <w:tcW w:w="2772"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1.红外气体分析仪主机，1台；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2. </w:t>
            </w:r>
            <w:r>
              <w:rPr>
                <w:rFonts w:hint="eastAsia" w:ascii="仿宋_GB2312" w:hAnsi="仿宋_GB2312" w:eastAsia="仿宋_GB2312" w:cs="仿宋_GB2312"/>
                <w:bCs/>
                <w:sz w:val="24"/>
              </w:rPr>
              <w:t xml:space="preserve">KBr分束器 </w:t>
            </w:r>
            <w:r>
              <w:rPr>
                <w:rFonts w:hint="eastAsia" w:ascii="仿宋_GB2312" w:hAnsi="仿宋_GB2312" w:eastAsia="仿宋_GB2312" w:cs="仿宋_GB2312"/>
                <w:color w:val="000000"/>
                <w:sz w:val="24"/>
                <w:shd w:val="clear" w:color="auto" w:fill="FFFFFF"/>
              </w:rPr>
              <w:t xml:space="preserve"> 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3. 软件包 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4. </w:t>
            </w:r>
            <w:r>
              <w:rPr>
                <w:rFonts w:hint="eastAsia" w:ascii="仿宋_GB2312" w:hAnsi="仿宋_GB2312" w:eastAsia="仿宋_GB2312" w:cs="仿宋_GB2312"/>
                <w:bCs/>
                <w:sz w:val="24"/>
              </w:rPr>
              <w:t>双区吹扫系统</w:t>
            </w:r>
            <w:r>
              <w:rPr>
                <w:rFonts w:hint="eastAsia" w:ascii="仿宋_GB2312" w:hAnsi="仿宋_GB2312" w:eastAsia="仿宋_GB2312" w:cs="仿宋_GB2312"/>
                <w:color w:val="000000"/>
                <w:sz w:val="24"/>
                <w:shd w:val="clear" w:color="auto" w:fill="FFFFFF"/>
              </w:rPr>
              <w:t>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5. </w:t>
            </w:r>
            <w:r>
              <w:rPr>
                <w:rFonts w:hint="eastAsia" w:ascii="仿宋_GB2312" w:hAnsi="仿宋_GB2312" w:eastAsia="仿宋_GB2312" w:cs="仿宋_GB2312"/>
                <w:bCs/>
                <w:sz w:val="24"/>
              </w:rPr>
              <w:t>气体池温度控制器和压力显示器</w:t>
            </w:r>
            <w:r>
              <w:rPr>
                <w:rFonts w:hint="eastAsia" w:ascii="仿宋_GB2312" w:hAnsi="仿宋_GB2312" w:eastAsia="仿宋_GB2312" w:cs="仿宋_GB2312"/>
                <w:color w:val="000000"/>
                <w:sz w:val="24"/>
                <w:shd w:val="clear" w:color="auto" w:fill="FFFFFF"/>
              </w:rPr>
              <w:t>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仿宋_GB2312" w:asciiTheme="minorEastAsia" w:hAnsiTheme="minorEastAsia"/>
                <w:sz w:val="24"/>
                <w:lang w:eastAsia="zh-CN"/>
              </w:rPr>
            </w:pPr>
            <w:r>
              <w:rPr>
                <w:rFonts w:hint="eastAsia" w:ascii="仿宋_GB2312" w:hAnsi="仿宋_GB2312" w:eastAsia="仿宋_GB2312" w:cs="仿宋_GB2312"/>
                <w:color w:val="000000"/>
                <w:sz w:val="24"/>
                <w:shd w:val="clear" w:color="auto" w:fill="FFFFFF"/>
              </w:rPr>
              <w:t xml:space="preserve">6. </w:t>
            </w:r>
            <w:r>
              <w:rPr>
                <w:rFonts w:hint="eastAsia" w:ascii="仿宋_GB2312" w:hAnsi="仿宋_GB2312" w:eastAsia="仿宋_GB2312" w:cs="仿宋_GB2312"/>
                <w:bCs/>
                <w:sz w:val="24"/>
              </w:rPr>
              <w:t>电脑  1套</w:t>
            </w:r>
            <w:r>
              <w:rPr>
                <w:rFonts w:hint="eastAsia" w:ascii="仿宋_GB2312" w:hAnsi="仿宋_GB2312" w:eastAsia="仿宋_GB2312" w:cs="仿宋_GB2312"/>
                <w:color w:val="000000"/>
                <w:sz w:val="24"/>
                <w:shd w:val="clear" w:color="auto" w:fill="FFFFFF"/>
                <w:lang w:eastAsia="zh-CN"/>
              </w:rPr>
              <w:t>。</w:t>
            </w:r>
          </w:p>
        </w:tc>
      </w:tr>
    </w:tbl>
    <w:p>
      <w:pPr>
        <w:keepNext w:val="0"/>
        <w:keepLines w:val="0"/>
        <w:pageBreakBefore w:val="0"/>
        <w:widowControl/>
        <w:kinsoku/>
        <w:wordWrap/>
        <w:overflowPunct/>
        <w:topLinePunct w:val="0"/>
        <w:autoSpaceDE/>
        <w:autoSpaceDN/>
        <w:bidi w:val="0"/>
        <w:snapToGrid w:val="0"/>
        <w:spacing w:line="480" w:lineRule="exact"/>
        <w:ind w:firstLine="602" w:firstLineChars="200"/>
        <w:textAlignment w:val="auto"/>
        <w:rPr>
          <w:rFonts w:hint="eastAsia" w:cs="宋体" w:asciiTheme="minorEastAsia" w:hAnsiTheme="minorEastAsia"/>
          <w:b/>
          <w:bCs/>
          <w:kern w:val="0"/>
          <w:sz w:val="30"/>
          <w:szCs w:val="30"/>
        </w:rPr>
      </w:pPr>
      <w:r>
        <w:rPr>
          <w:rFonts w:hint="eastAsia" w:cs="宋体" w:asciiTheme="minorEastAsia" w:hAnsiTheme="minorEastAsia"/>
          <w:b/>
          <w:bCs/>
          <w:kern w:val="0"/>
          <w:sz w:val="30"/>
          <w:szCs w:val="30"/>
          <w:lang w:eastAsia="zh-CN"/>
        </w:rPr>
        <w:t>（</w:t>
      </w:r>
      <w:r>
        <w:rPr>
          <w:rFonts w:hint="eastAsia" w:cs="宋体" w:asciiTheme="minorEastAsia" w:hAnsiTheme="minorEastAsia"/>
          <w:b/>
          <w:bCs/>
          <w:kern w:val="0"/>
          <w:sz w:val="30"/>
          <w:szCs w:val="30"/>
          <w:lang w:val="en-US" w:eastAsia="zh-CN"/>
        </w:rPr>
        <w:t>二</w:t>
      </w:r>
      <w:r>
        <w:rPr>
          <w:rFonts w:hint="eastAsia" w:cs="宋体" w:asciiTheme="minorEastAsia" w:hAnsiTheme="minorEastAsia"/>
          <w:b/>
          <w:bCs/>
          <w:kern w:val="0"/>
          <w:sz w:val="30"/>
          <w:szCs w:val="30"/>
          <w:lang w:eastAsia="zh-CN"/>
        </w:rPr>
        <w:t>）</w:t>
      </w:r>
      <w:r>
        <w:rPr>
          <w:rFonts w:hint="eastAsia" w:cs="宋体" w:asciiTheme="minorEastAsia" w:hAnsiTheme="minorEastAsia"/>
          <w:b/>
          <w:bCs/>
          <w:kern w:val="0"/>
          <w:sz w:val="30"/>
          <w:szCs w:val="30"/>
        </w:rPr>
        <w:t>性能参数</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光谱分辨率：优于0.5cm-1</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干涉仪：采用高光通量自动调整和高速动态准直(每秒13万次扫描控制)技术的DSP电磁式干涉仪，动态位置控制精度优于±0.2nm，具有超高检测稳定性、可靠性和精度。</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检测器：液氮冷却MCT检测器,液氮保持时间18小时。</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扫描速度：2次/秒</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软件数显及控制，并配置压力自动检测系统。温度和压力均在软件中时时显示记录。</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配置适于在线检测的先进的双光路系统，同时可检测得到样品和背景的红外信号，实现背景时时采集和扣除，从而确保测试的准确性。</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置OMNIC和RESULT在线分析软件：可时时显示温度和压力，并具有温度和压力的时时补偿修正功能，确保在线检测的高度准确；连续监测光源、电路、干涉仪、检测器、激光等状态参数；提供完善的多种定量分析方法，如：B-L，CLS 、SMLR，PLC，PCR等；并可以根据工作需要，以后用户能独立建立新的定量模型和扩展测试范围；</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多种光谱采集和分析模式，采集的数据格式与现有红外气体分析仪兼容，以便进行数据对比与再分析。</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品牌商用PC电脑，预装正版操作系统Win10工作站操作软件兼容，含Intel® 酷睿™2 CPU (时钟速度2.60GHz/前端总线1333Mhz/二级缓存4MB以上)，内存4GB  1333MHz， 500G硬盘， DVD-RW,21″LCD。</w:t>
      </w:r>
    </w:p>
    <w:p>
      <w:pPr>
        <w:keepNext w:val="0"/>
        <w:keepLines w:val="0"/>
        <w:pageBreakBefore w:val="0"/>
        <w:widowControl/>
        <w:kinsoku/>
        <w:wordWrap/>
        <w:overflowPunct/>
        <w:topLinePunct w:val="0"/>
        <w:autoSpaceDE/>
        <w:autoSpaceDN/>
        <w:bidi w:val="0"/>
        <w:snapToGrid w:val="0"/>
        <w:spacing w:line="480" w:lineRule="exact"/>
        <w:ind w:firstLine="602" w:firstLineChars="200"/>
        <w:textAlignment w:val="auto"/>
        <w:rPr>
          <w:rFonts w:hint="eastAsia" w:cs="宋体" w:asciiTheme="minorEastAsia" w:hAnsiTheme="minorEastAsia"/>
          <w:b/>
          <w:bCs/>
          <w:kern w:val="0"/>
          <w:sz w:val="30"/>
          <w:szCs w:val="30"/>
        </w:rPr>
      </w:pPr>
      <w:r>
        <w:rPr>
          <w:rFonts w:hint="eastAsia" w:cs="宋体" w:asciiTheme="minorEastAsia" w:hAnsiTheme="minorEastAsia"/>
          <w:b/>
          <w:bCs/>
          <w:kern w:val="0"/>
          <w:sz w:val="30"/>
          <w:szCs w:val="30"/>
          <w:lang w:eastAsia="zh-CN"/>
        </w:rPr>
        <w:t>（</w:t>
      </w:r>
      <w:r>
        <w:rPr>
          <w:rFonts w:hint="eastAsia" w:cs="宋体" w:asciiTheme="minorEastAsia" w:hAnsiTheme="minorEastAsia"/>
          <w:b/>
          <w:bCs/>
          <w:kern w:val="0"/>
          <w:sz w:val="30"/>
          <w:szCs w:val="30"/>
          <w:lang w:val="en-US" w:eastAsia="zh-CN"/>
        </w:rPr>
        <w:t>三</w:t>
      </w:r>
      <w:r>
        <w:rPr>
          <w:rFonts w:hint="eastAsia" w:cs="宋体" w:asciiTheme="minorEastAsia" w:hAnsiTheme="minorEastAsia"/>
          <w:b/>
          <w:bCs/>
          <w:kern w:val="0"/>
          <w:sz w:val="30"/>
          <w:szCs w:val="30"/>
          <w:lang w:eastAsia="zh-CN"/>
        </w:rPr>
        <w:t>）</w:t>
      </w:r>
      <w:r>
        <w:rPr>
          <w:rFonts w:hint="eastAsia" w:cs="宋体" w:asciiTheme="minorEastAsia" w:hAnsiTheme="minorEastAsia"/>
          <w:b/>
          <w:bCs/>
          <w:kern w:val="0"/>
          <w:sz w:val="30"/>
          <w:szCs w:val="30"/>
        </w:rPr>
        <w:t>服务要求</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供应商应按合同规定交货期限交货。货到用户现场后，双方共同开箱验货，清点货物，供应商应保证货物完整无损。</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货交用户后，由用户通知供应商安装时间，供应商应在接到通知后为用户进行安装。用户需按照供应商提供的安装要求准备好系统安装条件。</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供应商提供的标准安装的服务内容包括：1）IGS主机的安装。2）操作软件的培训。</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安装调试完毕后，由双方共同验收。在确认仪器模块正确、运转正常后，由双方签发验收报告。</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为用户提供仪器现场培训，在仪器到货安装完成后进行，为期一个工作日，内容包括仪器所涉及的基本原理、仪器核心模块及用户购买软件的基本使用方法、上机实际操作指导以及对用户当前进行的课题所涉及的应用进行初步的建议和讨论。</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用户所购买仪器自安装日起，供应商无偿为用户提供免费的技术支持服务。供应商的技术支持人员将在时间允许的情况下，通过电子邮件、电话等的方式对用户的支持请求进行回复。</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其它服务：供应商每一年举办三次国内用户学术交流研讨会，为国内用户提供学术交流的平台，促进用户之间的交流；</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卖方在安装现场提供基本操作培训，且在两年内买方壹名操作者可以按操作需求进度免费参加卖方提供的国内培训学习，不包括差旅住宿费。</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3" w:name="_GoBack"/>
    <w:bookmarkEnd w:id="3"/>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F0DA1"/>
    <w:multiLevelType w:val="singleLevel"/>
    <w:tmpl w:val="808F0D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079A8"/>
    <w:rsid w:val="00056440"/>
    <w:rsid w:val="000A6951"/>
    <w:rsid w:val="00824C40"/>
    <w:rsid w:val="0094465D"/>
    <w:rsid w:val="00C02364"/>
    <w:rsid w:val="00C37190"/>
    <w:rsid w:val="00D36C8B"/>
    <w:rsid w:val="00E669B2"/>
    <w:rsid w:val="00EB7E60"/>
    <w:rsid w:val="0CF462EF"/>
    <w:rsid w:val="10955513"/>
    <w:rsid w:val="17044530"/>
    <w:rsid w:val="1E0858BC"/>
    <w:rsid w:val="1E592455"/>
    <w:rsid w:val="23201794"/>
    <w:rsid w:val="259B492C"/>
    <w:rsid w:val="2B724B56"/>
    <w:rsid w:val="30C84A8F"/>
    <w:rsid w:val="32FA64D5"/>
    <w:rsid w:val="34232DEB"/>
    <w:rsid w:val="3522139B"/>
    <w:rsid w:val="40C33A32"/>
    <w:rsid w:val="47947ED7"/>
    <w:rsid w:val="483E65AE"/>
    <w:rsid w:val="4C2A6435"/>
    <w:rsid w:val="55396078"/>
    <w:rsid w:val="554D1673"/>
    <w:rsid w:val="656C203B"/>
    <w:rsid w:val="68394457"/>
    <w:rsid w:val="689B5C8E"/>
    <w:rsid w:val="6DC72505"/>
    <w:rsid w:val="74F33160"/>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790</Characters>
  <Lines>6</Lines>
  <Paragraphs>1</Paragraphs>
  <TotalTime>3</TotalTime>
  <ScaleCrop>false</ScaleCrop>
  <LinksUpToDate>false</LinksUpToDate>
  <CharactersWithSpaces>927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2021-12-07T04:53:50Z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