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b/>
          <w:bCs/>
          <w:color w:val="000000"/>
          <w:sz w:val="44"/>
          <w:szCs w:val="44"/>
        </w:rPr>
      </w:pPr>
      <w:r>
        <w:rPr>
          <w:rFonts w:hint="eastAsia" w:ascii="方正小标宋简体" w:hAnsi="方正小标宋简体" w:eastAsia="方正小标宋简体" w:cs="方正小标宋简体"/>
          <w:b/>
          <w:bCs/>
          <w:color w:val="000000"/>
          <w:sz w:val="44"/>
          <w:szCs w:val="44"/>
        </w:rPr>
        <w:t>清源创新实验室全自动压汞仪需求调研情况</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一、仪器设备使用的项目</w:t>
      </w:r>
    </w:p>
    <w:p>
      <w:pPr>
        <w:snapToGrid w:val="0"/>
        <w:spacing w:line="540" w:lineRule="exact"/>
        <w:ind w:firstLine="640" w:firstLineChars="200"/>
        <w:jc w:val="left"/>
        <w:rPr>
          <w:rFonts w:hint="eastAsia" w:ascii="仿宋_GB2312" w:hAnsi="仿宋_GB2312" w:eastAsia="仿宋_GB2312" w:cs="仿宋_GB2312"/>
          <w:color w:val="000000"/>
          <w:sz w:val="32"/>
          <w:szCs w:val="32"/>
        </w:rPr>
      </w:pPr>
      <w:r>
        <w:rPr>
          <w:rFonts w:ascii="仿宋_GB2312" w:hAnsi="仿宋_GB2312" w:eastAsia="仿宋_GB2312" w:cs="仿宋_GB2312"/>
          <w:color w:val="000000"/>
          <w:sz w:val="32"/>
          <w:szCs w:val="32"/>
        </w:rPr>
        <w:t>全自动压汞仪是一种用于定量测试多孔材料和催化剂孔隙率、孔径分布、孔体积、比表面积和骨架密度的方法。工业催化作为清</w:t>
      </w:r>
      <w:bookmarkStart w:id="0" w:name="_GoBack"/>
      <w:bookmarkEnd w:id="0"/>
      <w:r>
        <w:rPr>
          <w:rFonts w:ascii="仿宋_GB2312" w:hAnsi="仿宋_GB2312" w:eastAsia="仿宋_GB2312" w:cs="仿宋_GB2312"/>
          <w:color w:val="000000"/>
          <w:sz w:val="32"/>
          <w:szCs w:val="32"/>
        </w:rPr>
        <w:t>源实验室的重要研究方法，拟购置的压汞仪主要用于支撑催化剂开发过程中孔道结构的调变研究、多孔材料骨架密度的调变研究、催化剂外型结构对孔隙率影响规律的研究，并可服务于实验室硕士研究生的培养，推动清源实验室在工业催化剂领域的研究进程。</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二、在该项目中所承担的任务</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拟购置的全自动压汞仪是基于汞作为一种非润湿液体被压入多孔材料，利用W</w:t>
      </w:r>
      <w:r>
        <w:rPr>
          <w:rFonts w:ascii="仿宋_GB2312" w:hAnsi="仿宋_GB2312" w:eastAsia="仿宋_GB2312" w:cs="仿宋_GB2312"/>
          <w:color w:val="000000"/>
          <w:sz w:val="32"/>
          <w:szCs w:val="32"/>
        </w:rPr>
        <w:t>ashburn方程将施加压力回归出多孔材料孔道结构的数据。氮气吸附</w:t>
      </w:r>
      <w:r>
        <w:rPr>
          <w:rFonts w:hint="eastAsia" w:ascii="仿宋_GB2312" w:hAnsi="仿宋_GB2312" w:eastAsia="仿宋_GB2312" w:cs="仿宋_GB2312"/>
          <w:color w:val="000000"/>
          <w:sz w:val="32"/>
          <w:szCs w:val="32"/>
        </w:rPr>
        <w:t>-脱附分析方法主要用于测试多孔材料微-介孔结构，测试的孔道范围小于3</w:t>
      </w:r>
      <w:r>
        <w:rPr>
          <w:rFonts w:ascii="仿宋_GB2312" w:hAnsi="仿宋_GB2312" w:eastAsia="仿宋_GB2312" w:cs="仿宋_GB2312"/>
          <w:color w:val="000000"/>
          <w:sz w:val="32"/>
          <w:szCs w:val="32"/>
        </w:rPr>
        <w:t>0 nm，而压汞方法主要用于测试多孔材料介</w:t>
      </w:r>
      <w:r>
        <w:rPr>
          <w:rFonts w:hint="eastAsia" w:ascii="仿宋_GB2312" w:hAnsi="仿宋_GB2312" w:eastAsia="仿宋_GB2312" w:cs="仿宋_GB2312"/>
          <w:color w:val="000000"/>
          <w:sz w:val="32"/>
          <w:szCs w:val="32"/>
        </w:rPr>
        <w:t>-大孔结构，测试的孔径范围一般大于</w:t>
      </w:r>
      <w:r>
        <w:rPr>
          <w:rFonts w:ascii="仿宋_GB2312" w:hAnsi="仿宋_GB2312" w:eastAsia="仿宋_GB2312" w:cs="仿宋_GB2312"/>
          <w:color w:val="000000"/>
          <w:sz w:val="32"/>
          <w:szCs w:val="32"/>
        </w:rPr>
        <w:t>7 nm。氧化铝载体及其催化剂的开发是清源创新实验室工业催化方向非常重要的研究领域。目前，正在开展的渣油加氢催化剂项目，需要对氧化铝载体的</w:t>
      </w:r>
      <w:r>
        <w:rPr>
          <w:rFonts w:hint="eastAsia" w:ascii="仿宋_GB2312" w:hAnsi="仿宋_GB2312" w:eastAsia="仿宋_GB2312" w:cs="仿宋_GB2312"/>
          <w:color w:val="000000"/>
          <w:sz w:val="32"/>
          <w:szCs w:val="32"/>
        </w:rPr>
        <w:t>介-</w:t>
      </w:r>
      <w:r>
        <w:rPr>
          <w:rFonts w:ascii="仿宋_GB2312" w:hAnsi="仿宋_GB2312" w:eastAsia="仿宋_GB2312" w:cs="仿宋_GB2312"/>
          <w:color w:val="000000"/>
          <w:sz w:val="32"/>
          <w:szCs w:val="32"/>
        </w:rPr>
        <w:t>大孔结构</w:t>
      </w:r>
      <w:r>
        <w:rPr>
          <w:rFonts w:hint="eastAsia" w:ascii="仿宋_GB2312" w:hAnsi="仿宋_GB2312" w:eastAsia="仿宋_GB2312" w:cs="仿宋_GB2312"/>
          <w:color w:val="000000"/>
          <w:sz w:val="32"/>
          <w:szCs w:val="32"/>
        </w:rPr>
        <w:t>(5</w:t>
      </w:r>
      <w:r>
        <w:rPr>
          <w:rFonts w:ascii="仿宋_GB2312" w:hAnsi="仿宋_GB2312" w:eastAsia="仿宋_GB2312" w:cs="仿宋_GB2312"/>
          <w:color w:val="000000"/>
          <w:sz w:val="32"/>
          <w:szCs w:val="32"/>
        </w:rPr>
        <w:t xml:space="preserve"> nm-500 </w:t>
      </w:r>
      <w:r>
        <w:rPr>
          <w:rFonts w:hint="eastAsia" w:ascii="仿宋" w:hAnsi="仿宋" w:eastAsia="仿宋" w:cs="仿宋_GB2312"/>
          <w:color w:val="000000"/>
          <w:sz w:val="32"/>
          <w:szCs w:val="32"/>
        </w:rPr>
        <w:t>μ</w:t>
      </w:r>
      <w:r>
        <w:rPr>
          <w:rFonts w:ascii="仿宋_GB2312" w:hAnsi="仿宋_GB2312" w:eastAsia="仿宋_GB2312" w:cs="仿宋_GB2312"/>
          <w:color w:val="000000"/>
          <w:sz w:val="32"/>
          <w:szCs w:val="32"/>
        </w:rPr>
        <w:t>m)进行调变；正在开展的聚合物加氢催化剂开发项目，需要对氧化铝载体</w:t>
      </w:r>
      <w:r>
        <w:rPr>
          <w:rFonts w:hint="eastAsia" w:ascii="仿宋_GB2312" w:hAnsi="仿宋_GB2312" w:eastAsia="仿宋_GB2312" w:cs="仿宋_GB2312"/>
          <w:color w:val="000000"/>
          <w:sz w:val="32"/>
          <w:szCs w:val="32"/>
        </w:rPr>
        <w:t>1</w:t>
      </w:r>
      <w:r>
        <w:rPr>
          <w:rFonts w:ascii="仿宋_GB2312" w:hAnsi="仿宋_GB2312" w:eastAsia="仿宋_GB2312" w:cs="仿宋_GB2312"/>
          <w:color w:val="000000"/>
          <w:sz w:val="32"/>
          <w:szCs w:val="32"/>
        </w:rPr>
        <w:t>00 nm-300 nm的孔径进行调变；正在开展的丙烷脱氢用氧化铝载体，需要对氧化铝载体的骨架密度和孔隙率进行调变，定量的掌握催化剂性能于结构之间的构效关系。全自动压汞仪的购置可加快上述催化剂的研发和成果转化进程。同时，</w:t>
      </w:r>
      <w:r>
        <w:rPr>
          <w:rFonts w:hint="eastAsia" w:ascii="仿宋_GB2312" w:hAnsi="仿宋_GB2312" w:eastAsia="仿宋_GB2312" w:cs="仿宋_GB2312"/>
          <w:color w:val="000000"/>
          <w:sz w:val="32"/>
          <w:szCs w:val="32"/>
        </w:rPr>
        <w:t>提高清源实验室工业催化方向承担国家级项目的能力和人才的引进和培养。</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三、国内外同类项目所用的仪器设备及优缺点对比</w:t>
      </w:r>
    </w:p>
    <w:tbl>
      <w:tblPr>
        <w:tblStyle w:val="5"/>
        <w:tblW w:w="0" w:type="auto"/>
        <w:jc w:val="center"/>
        <w:tblLayout w:type="fixed"/>
        <w:tblCellMar>
          <w:top w:w="0" w:type="dxa"/>
          <w:left w:w="10" w:type="dxa"/>
          <w:bottom w:w="0" w:type="dxa"/>
          <w:right w:w="10" w:type="dxa"/>
        </w:tblCellMar>
      </w:tblPr>
      <w:tblGrid>
        <w:gridCol w:w="991"/>
        <w:gridCol w:w="2085"/>
        <w:gridCol w:w="2220"/>
        <w:gridCol w:w="652"/>
        <w:gridCol w:w="1583"/>
        <w:gridCol w:w="168"/>
        <w:gridCol w:w="2067"/>
      </w:tblGrid>
      <w:tr>
        <w:tblPrEx>
          <w:tblCellMar>
            <w:top w:w="0" w:type="dxa"/>
            <w:left w:w="10" w:type="dxa"/>
            <w:bottom w:w="0" w:type="dxa"/>
            <w:right w:w="10" w:type="dxa"/>
          </w:tblCellMar>
        </w:tblPrEx>
        <w:trPr>
          <w:trHeight w:val="451"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名称</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型号</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制造公司</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使用单位</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购置时间</w:t>
            </w:r>
          </w:p>
        </w:tc>
      </w:tr>
      <w:tr>
        <w:tblPrEx>
          <w:tblCellMar>
            <w:top w:w="0" w:type="dxa"/>
            <w:left w:w="10" w:type="dxa"/>
            <w:bottom w:w="0" w:type="dxa"/>
            <w:right w:w="10" w:type="dxa"/>
          </w:tblCellMar>
        </w:tblPrEx>
        <w:trPr>
          <w:trHeight w:val="567"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全自动压汞仪</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sz w:val="24"/>
                <w:szCs w:val="24"/>
              </w:rPr>
            </w:pPr>
            <w:r>
              <w:rPr>
                <w:szCs w:val="21"/>
              </w:rPr>
              <w:t>Autopore 9605</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sz w:val="24"/>
                <w:szCs w:val="24"/>
              </w:rPr>
            </w:pPr>
            <w:r>
              <w:rPr>
                <w:szCs w:val="21"/>
              </w:rPr>
              <w:t>美国麦克公司</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ascii="仿宋_GB2312" w:hAnsi="仿宋_GB2312" w:eastAsia="仿宋_GB2312" w:cs="仿宋_GB2312"/>
                <w:color w:val="000000"/>
              </w:rPr>
            </w:pPr>
            <w:r>
              <w:rPr>
                <w:rFonts w:hint="eastAsia" w:ascii="仿宋_GB2312" w:hAnsi="仿宋_GB2312" w:eastAsia="仿宋_GB2312" w:cs="仿宋_GB2312"/>
                <w:color w:val="000000"/>
              </w:rPr>
              <w:t>上海交通大学</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sz w:val="24"/>
                <w:szCs w:val="24"/>
              </w:rPr>
            </w:pPr>
            <w:r>
              <w:rPr>
                <w:rFonts w:ascii="Times New Roman" w:hAnsi="Times New Roman" w:eastAsia="Times New Roman" w:cs="Times New Roman"/>
                <w:color w:val="000000"/>
                <w:sz w:val="24"/>
                <w:szCs w:val="24"/>
              </w:rPr>
              <w:t>2020</w:t>
            </w:r>
          </w:p>
        </w:tc>
      </w:tr>
      <w:tr>
        <w:tblPrEx>
          <w:tblCellMar>
            <w:top w:w="0" w:type="dxa"/>
            <w:left w:w="10" w:type="dxa"/>
            <w:bottom w:w="0" w:type="dxa"/>
            <w:right w:w="10" w:type="dxa"/>
          </w:tblCellMar>
        </w:tblPrEx>
        <w:trPr>
          <w:trHeight w:val="635"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全自动压汞仪</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sz w:val="24"/>
                <w:szCs w:val="24"/>
              </w:rPr>
            </w:pPr>
            <w:r>
              <w:rPr>
                <w:szCs w:val="21"/>
              </w:rPr>
              <w:t>PASCL</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sz w:val="24"/>
                <w:szCs w:val="24"/>
              </w:rPr>
            </w:pPr>
            <w:r>
              <w:rPr>
                <w:szCs w:val="21"/>
              </w:rPr>
              <w:t>美国热电公司</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ascii="仿宋_GB2312" w:hAnsi="仿宋_GB2312" w:eastAsia="仿宋_GB2312" w:cs="仿宋_GB2312"/>
                <w:color w:val="000000"/>
              </w:rPr>
            </w:pPr>
            <w:r>
              <w:t>漂莱特（中国）有限公司</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eastAsia="PMingLiU"/>
                <w:sz w:val="24"/>
                <w:szCs w:val="24"/>
              </w:rPr>
            </w:pPr>
            <w:r>
              <w:rPr>
                <w:rFonts w:ascii="Times New Roman" w:hAnsi="Times New Roman" w:eastAsia="PMingLiU" w:cs="Times New Roman"/>
                <w:color w:val="000000"/>
                <w:sz w:val="24"/>
                <w:szCs w:val="24"/>
              </w:rPr>
              <w:t>2012</w:t>
            </w:r>
          </w:p>
        </w:tc>
      </w:tr>
      <w:tr>
        <w:tblPrEx>
          <w:tblCellMar>
            <w:top w:w="0" w:type="dxa"/>
            <w:left w:w="10" w:type="dxa"/>
            <w:bottom w:w="0" w:type="dxa"/>
            <w:right w:w="10" w:type="dxa"/>
          </w:tblCellMar>
        </w:tblPrEx>
        <w:trPr>
          <w:trHeight w:val="628"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全自动压汞仪</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sz w:val="24"/>
                <w:szCs w:val="24"/>
              </w:rPr>
            </w:pPr>
            <w:r>
              <w:rPr>
                <w:szCs w:val="21"/>
              </w:rPr>
              <w:t>Poremaster 33GT</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sz w:val="24"/>
                <w:szCs w:val="24"/>
              </w:rPr>
            </w:pPr>
            <w:r>
              <w:rPr>
                <w:szCs w:val="21"/>
              </w:rPr>
              <w:t>美国安东帕康塔公司</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140"/>
              <w:jc w:val="center"/>
              <w:rPr>
                <w:rFonts w:ascii="仿宋_GB2312" w:hAnsi="仿宋_GB2312" w:eastAsia="仿宋_GB2312" w:cs="仿宋_GB2312"/>
                <w:color w:val="000000"/>
              </w:rPr>
            </w:pPr>
            <w:r>
              <w:t>中国科学院上海硅酸盐所</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hint="eastAsia" w:eastAsia="PMingLiU"/>
                <w:sz w:val="24"/>
                <w:szCs w:val="24"/>
              </w:rPr>
            </w:pPr>
            <w:r>
              <w:rPr>
                <w:rFonts w:ascii="Times New Roman" w:hAnsi="Times New Roman" w:eastAsia="PMingLiU" w:cs="Times New Roman"/>
                <w:color w:val="000000"/>
                <w:sz w:val="24"/>
                <w:szCs w:val="24"/>
              </w:rPr>
              <w:t>2020</w:t>
            </w:r>
          </w:p>
        </w:tc>
      </w:tr>
      <w:tr>
        <w:tblPrEx>
          <w:tblCellMar>
            <w:top w:w="0" w:type="dxa"/>
            <w:left w:w="10" w:type="dxa"/>
            <w:bottom w:w="0" w:type="dxa"/>
            <w:right w:w="10" w:type="dxa"/>
          </w:tblCellMar>
        </w:tblPrEx>
        <w:trPr>
          <w:trHeight w:val="401" w:hRule="exact"/>
          <w:jc w:val="center"/>
        </w:trPr>
        <w:tc>
          <w:tcPr>
            <w:tcW w:w="307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pPr>
            <w:r>
              <w:rPr>
                <w:color w:val="000000"/>
              </w:rPr>
              <w:t>优缺点对比</w:t>
            </w: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10"/>
                <w:szCs w:val="10"/>
              </w:rPr>
            </w:pP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10"/>
                <w:szCs w:val="10"/>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sz w:val="10"/>
                <w:szCs w:val="10"/>
              </w:rPr>
            </w:pPr>
          </w:p>
        </w:tc>
      </w:tr>
      <w:tr>
        <w:tblPrEx>
          <w:tblCellMar>
            <w:top w:w="0" w:type="dxa"/>
            <w:left w:w="10" w:type="dxa"/>
            <w:bottom w:w="0" w:type="dxa"/>
            <w:right w:w="10" w:type="dxa"/>
          </w:tblCellMar>
        </w:tblPrEx>
        <w:trPr>
          <w:trHeight w:val="390"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品牌</w:t>
            </w:r>
          </w:p>
        </w:tc>
        <w:tc>
          <w:tcPr>
            <w:tcW w:w="2085" w:type="dxa"/>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10"/>
                <w:szCs w:val="10"/>
              </w:rPr>
            </w:pPr>
          </w:p>
        </w:tc>
        <w:tc>
          <w:tcPr>
            <w:tcW w:w="287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rPr>
            </w:pPr>
            <w:r>
              <w:rPr>
                <w:rFonts w:hint="eastAsia" w:ascii="黑体" w:hAnsi="黑体" w:eastAsia="黑体" w:cs="黑体"/>
                <w:color w:val="000000"/>
              </w:rPr>
              <w:t>优点</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adjustRightInd w:val="0"/>
              <w:snapToGrid w:val="0"/>
              <w:jc w:val="center"/>
              <w:rPr>
                <w:rFonts w:ascii="黑体" w:hAnsi="黑体" w:eastAsia="黑体" w:cs="黑体"/>
                <w:sz w:val="10"/>
                <w:szCs w:val="10"/>
              </w:rPr>
            </w:pP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adjustRightInd w:val="0"/>
              <w:snapToGrid w:val="0"/>
              <w:spacing w:after="0" w:line="240" w:lineRule="auto"/>
              <w:jc w:val="center"/>
              <w:rPr>
                <w:rFonts w:ascii="黑体" w:hAnsi="黑体" w:eastAsia="黑体" w:cs="黑体"/>
              </w:rPr>
            </w:pPr>
            <w:r>
              <w:rPr>
                <w:rFonts w:hint="eastAsia" w:ascii="黑体" w:hAnsi="黑体" w:eastAsia="黑体" w:cs="黑体"/>
                <w:color w:val="000000"/>
              </w:rPr>
              <w:t>缺点</w:t>
            </w:r>
          </w:p>
        </w:tc>
      </w:tr>
      <w:tr>
        <w:tblPrEx>
          <w:tblCellMar>
            <w:top w:w="0" w:type="dxa"/>
            <w:left w:w="10" w:type="dxa"/>
            <w:bottom w:w="0" w:type="dxa"/>
            <w:right w:w="10" w:type="dxa"/>
          </w:tblCellMar>
        </w:tblPrEx>
        <w:trPr>
          <w:trHeight w:val="1283"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szCs w:val="21"/>
              </w:rPr>
              <w:t>美国麦克公司Autopore 9605</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rPr>
                <w:rFonts w:ascii="仿宋_GB2312" w:hAnsi="仿宋_GB2312" w:eastAsia="PMingLiU" w:cs="仿宋_GB2312"/>
                <w:color w:val="000000"/>
              </w:rPr>
            </w:pPr>
            <w:r>
              <w:t>美国麦克仪器公司作为压汞仪的发明者，无论在产品质量，市场占有率，文献发表的数量及质量等方面，均在全世界首屈一指。</w:t>
            </w:r>
            <w:r>
              <w:rPr>
                <w:rFonts w:hint="eastAsia"/>
              </w:rPr>
              <w:t>国内市场占有率</w:t>
            </w:r>
            <w:r>
              <w:rPr>
                <w:rFonts w:hint="eastAsia"/>
                <w:szCs w:val="21"/>
              </w:rPr>
              <w:t>超过</w:t>
            </w:r>
            <w:r>
              <w:rPr>
                <w:rFonts w:eastAsia="PMingLiU"/>
                <w:szCs w:val="21"/>
              </w:rPr>
              <w:t>6</w:t>
            </w:r>
            <w:r>
              <w:rPr>
                <w:szCs w:val="21"/>
              </w:rPr>
              <w:t>0%，</w:t>
            </w:r>
            <w:r>
              <w:t>在厦门有专门的售后服务网点，售后服务便利</w:t>
            </w:r>
            <w:r>
              <w:rPr>
                <w:szCs w:val="21"/>
              </w:rPr>
              <w:t>。</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PMingLiU" w:cs="仿宋_GB2312"/>
                <w:color w:val="000000"/>
              </w:rPr>
            </w:pPr>
            <w:r>
              <w:rPr>
                <w:rFonts w:hint="eastAsia" w:ascii="仿宋_GB2312" w:hAnsi="仿宋_GB2312" w:eastAsia="仿宋_GB2312" w:cs="仿宋_GB2312"/>
                <w:color w:val="000000"/>
                <w:lang w:eastAsia="zh-CN"/>
              </w:rPr>
              <w:t>4个低压和2个高压站配置，</w:t>
            </w:r>
            <w:r>
              <w:rPr>
                <w:rFonts w:hint="eastAsia" w:ascii="仿宋_GB2312" w:hAnsi="仿宋_GB2312" w:eastAsia="仿宋_GB2312" w:cs="仿宋_GB2312"/>
                <w:color w:val="000000"/>
              </w:rPr>
              <w:t>国内多孔材料研发团队首选</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无</w:t>
            </w:r>
          </w:p>
        </w:tc>
      </w:tr>
      <w:tr>
        <w:tblPrEx>
          <w:tblCellMar>
            <w:top w:w="0" w:type="dxa"/>
            <w:left w:w="10" w:type="dxa"/>
            <w:bottom w:w="0" w:type="dxa"/>
            <w:right w:w="10" w:type="dxa"/>
          </w:tblCellMar>
        </w:tblPrEx>
        <w:trPr>
          <w:trHeight w:val="1678"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szCs w:val="21"/>
              </w:rPr>
              <w:t>美国安东帕康塔公司Poremaster 33GT</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rPr>
                <w:rFonts w:ascii="仿宋_GB2312" w:hAnsi="仿宋_GB2312" w:eastAsia="仿宋_GB2312" w:cs="仿宋_GB2312"/>
                <w:color w:val="000000"/>
              </w:rPr>
            </w:pPr>
            <w:r>
              <w:t>美国安东帕康塔公司的Poromaster系列分析仪产品较为成熟，功能较为齐全，最高压力可达33000 psia。安全性能高（带有汞蒸气保护冷阱系统）自动化程度高（可全自动循环利用液压油）、运行比较稳定、上海设置有网点</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hint="eastAsia" w:ascii="仿宋_GB2312" w:hAnsi="仿宋_GB2312" w:cs="仿宋_GB2312" w:eastAsiaTheme="minorEastAsia"/>
                <w:color w:val="000000"/>
                <w:lang w:eastAsia="zh-CN"/>
              </w:rPr>
            </w:pPr>
            <w:r>
              <w:rPr>
                <w:rFonts w:hint="eastAsia" w:ascii="仿宋_GB2312" w:hAnsi="仿宋_GB2312" w:cs="仿宋_GB2312" w:eastAsiaTheme="minorEastAsia"/>
                <w:color w:val="000000"/>
                <w:lang w:eastAsia="zh-CN"/>
              </w:rPr>
              <w:t>2个低压和2个高压站配置，测试效率略低</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rFonts w:ascii="仿宋_GB2312" w:hAnsi="仿宋_GB2312" w:eastAsia="仿宋_GB2312" w:cs="仿宋_GB2312"/>
                <w:color w:val="000000"/>
              </w:rPr>
              <w:t>售后服务略差</w:t>
            </w:r>
          </w:p>
        </w:tc>
      </w:tr>
      <w:tr>
        <w:tblPrEx>
          <w:tblCellMar>
            <w:top w:w="0" w:type="dxa"/>
            <w:left w:w="10" w:type="dxa"/>
            <w:bottom w:w="0" w:type="dxa"/>
            <w:right w:w="10" w:type="dxa"/>
          </w:tblCellMar>
        </w:tblPrEx>
        <w:trPr>
          <w:trHeight w:val="1289" w:hRule="exact"/>
          <w:jc w:val="center"/>
        </w:trPr>
        <w:tc>
          <w:tcPr>
            <w:tcW w:w="99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rPr>
                <w:szCs w:val="21"/>
              </w:rPr>
              <w:t>美国热电公司PASCL</w:t>
            </w:r>
          </w:p>
        </w:tc>
        <w:tc>
          <w:tcPr>
            <w:tcW w:w="4957" w:type="dxa"/>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color w:val="000000"/>
              </w:rPr>
            </w:pPr>
            <w:r>
              <w:t>美国热电公司的PASCAL产品比较普通，只有1个工作站，测试效率低。</w:t>
            </w:r>
          </w:p>
        </w:tc>
        <w:tc>
          <w:tcPr>
            <w:tcW w:w="1751"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jc w:val="center"/>
              <w:rPr>
                <w:rFonts w:hint="eastAsia" w:ascii="仿宋_GB2312" w:hAnsi="仿宋_GB2312" w:eastAsia="PMingLiU" w:cs="仿宋_GB2312"/>
                <w:color w:val="000000"/>
              </w:rPr>
            </w:pPr>
            <w:r>
              <w:rPr>
                <w:rFonts w:ascii="仿宋_GB2312" w:hAnsi="仿宋_GB2312" w:eastAsia="仿宋_GB2312" w:cs="仿宋_GB2312"/>
                <w:color w:val="000000"/>
              </w:rPr>
              <w:t>几乎没有用户</w:t>
            </w:r>
          </w:p>
        </w:tc>
        <w:tc>
          <w:tcPr>
            <w:tcW w:w="2067"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auto"/>
              <w:ind w:firstLine="0"/>
              <w:rPr>
                <w:rFonts w:ascii="仿宋_GB2312" w:hAnsi="仿宋_GB2312" w:eastAsia="仿宋_GB2312" w:cs="仿宋_GB2312"/>
                <w:color w:val="000000"/>
              </w:rPr>
            </w:pPr>
            <w:r>
              <w:t>测试范围较小（1080-0.01微米），无汞蒸气保护冷阱，几乎无售后服务。</w:t>
            </w:r>
          </w:p>
        </w:tc>
      </w:tr>
      <w:tr>
        <w:tblPrEx>
          <w:tblCellMar>
            <w:top w:w="0" w:type="dxa"/>
            <w:left w:w="10" w:type="dxa"/>
            <w:bottom w:w="0" w:type="dxa"/>
            <w:right w:w="10" w:type="dxa"/>
          </w:tblCellMar>
        </w:tblPrEx>
        <w:trPr>
          <w:trHeight w:val="505" w:hRule="exact"/>
          <w:jc w:val="center"/>
        </w:trPr>
        <w:tc>
          <w:tcPr>
            <w:tcW w:w="9766" w:type="dxa"/>
            <w:gridSpan w:val="7"/>
            <w:tcBorders>
              <w:top w:val="single" w:color="auto" w:sz="4" w:space="0"/>
              <w:left w:val="single" w:color="auto" w:sz="4" w:space="0"/>
              <w:right w:val="single" w:color="auto" w:sz="4" w:space="0"/>
            </w:tcBorders>
            <w:shd w:val="clear" w:color="auto" w:fill="FFFFFF"/>
          </w:tcPr>
          <w:p>
            <w:pPr>
              <w:pStyle w:val="10"/>
              <w:spacing w:after="0" w:line="425" w:lineRule="exact"/>
              <w:ind w:firstLine="0"/>
              <w:jc w:val="left"/>
              <w:rPr>
                <w:sz w:val="28"/>
                <w:szCs w:val="28"/>
              </w:rPr>
            </w:pPr>
            <w:r>
              <w:rPr>
                <w:color w:val="000000"/>
                <w:sz w:val="28"/>
                <w:szCs w:val="28"/>
              </w:rPr>
              <w:t>同类项目所用仪器设备的优缺点（提供不少于三家制造公司的仪器设备）</w:t>
            </w:r>
          </w:p>
        </w:tc>
      </w:tr>
      <w:tr>
        <w:tblPrEx>
          <w:tblCellMar>
            <w:top w:w="0" w:type="dxa"/>
            <w:left w:w="10" w:type="dxa"/>
            <w:bottom w:w="0" w:type="dxa"/>
            <w:right w:w="10" w:type="dxa"/>
          </w:tblCellMar>
        </w:tblPrEx>
        <w:trPr>
          <w:trHeight w:val="663" w:hRule="exact"/>
          <w:jc w:val="center"/>
        </w:trPr>
        <w:tc>
          <w:tcPr>
            <w:tcW w:w="991"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类别</w:t>
            </w:r>
          </w:p>
        </w:tc>
        <w:tc>
          <w:tcPr>
            <w:tcW w:w="2085" w:type="dxa"/>
            <w:tcBorders>
              <w:top w:val="single" w:color="auto" w:sz="4" w:space="0"/>
              <w:left w:val="single" w:color="auto" w:sz="4" w:space="0"/>
            </w:tcBorders>
            <w:shd w:val="clear" w:color="auto" w:fill="FFFFFF"/>
            <w:vAlign w:val="center"/>
          </w:tcPr>
          <w:p>
            <w:pPr>
              <w:pStyle w:val="10"/>
              <w:adjustRightInd w:val="0"/>
              <w:snapToGrid w:val="0"/>
              <w:spacing w:after="0" w:line="240" w:lineRule="auto"/>
              <w:ind w:firstLine="0"/>
              <w:jc w:val="center"/>
              <w:rPr>
                <w:rFonts w:ascii="黑体" w:hAnsi="黑体" w:eastAsia="黑体" w:cs="黑体"/>
                <w:color w:val="000000"/>
              </w:rPr>
            </w:pPr>
            <w:r>
              <w:rPr>
                <w:rFonts w:hint="eastAsia" w:ascii="黑体" w:hAnsi="黑体" w:eastAsia="黑体" w:cs="黑体"/>
                <w:color w:val="000000"/>
              </w:rPr>
              <w:t>项目</w:t>
            </w:r>
          </w:p>
        </w:tc>
        <w:tc>
          <w:tcPr>
            <w:tcW w:w="2220" w:type="dxa"/>
            <w:tcBorders>
              <w:top w:val="single" w:color="auto" w:sz="4" w:space="0"/>
              <w:left w:val="single" w:color="auto" w:sz="4" w:space="0"/>
            </w:tcBorders>
            <w:shd w:val="clear" w:color="auto" w:fill="FFFFFF"/>
            <w:vAlign w:val="bottom"/>
          </w:tcPr>
          <w:p>
            <w:pPr>
              <w:pStyle w:val="10"/>
              <w:adjustRightInd w:val="0"/>
              <w:snapToGrid w:val="0"/>
              <w:spacing w:after="0" w:line="240" w:lineRule="auto"/>
              <w:ind w:firstLine="0"/>
              <w:jc w:val="center"/>
              <w:rPr>
                <w:rFonts w:ascii="黑体" w:hAnsi="黑体" w:eastAsia="黑体" w:cs="黑体"/>
                <w:color w:val="000000"/>
              </w:rPr>
            </w:pPr>
            <w:r>
              <w:rPr>
                <w:szCs w:val="21"/>
              </w:rPr>
              <w:t>美国麦克公司Autopore 9605</w:t>
            </w:r>
          </w:p>
        </w:tc>
        <w:tc>
          <w:tcPr>
            <w:tcW w:w="2235" w:type="dxa"/>
            <w:gridSpan w:val="2"/>
            <w:tcBorders>
              <w:top w:val="single" w:color="auto" w:sz="4" w:space="0"/>
              <w:left w:val="single" w:color="auto" w:sz="4" w:space="0"/>
            </w:tcBorders>
            <w:shd w:val="clear" w:color="auto" w:fill="FFFFFF"/>
            <w:vAlign w:val="bottom"/>
          </w:tcPr>
          <w:p>
            <w:pPr>
              <w:pStyle w:val="10"/>
              <w:adjustRightInd w:val="0"/>
              <w:snapToGrid w:val="0"/>
              <w:spacing w:after="0" w:line="240" w:lineRule="auto"/>
              <w:ind w:firstLine="0"/>
              <w:jc w:val="center"/>
              <w:rPr>
                <w:rFonts w:ascii="黑体" w:hAnsi="黑体" w:eastAsia="黑体" w:cs="黑体"/>
                <w:color w:val="000000"/>
              </w:rPr>
            </w:pPr>
            <w:r>
              <w:rPr>
                <w:szCs w:val="21"/>
              </w:rPr>
              <w:t>美国安东帕康塔公司Poremaster 33GT</w:t>
            </w:r>
          </w:p>
        </w:tc>
        <w:tc>
          <w:tcPr>
            <w:tcW w:w="2235" w:type="dxa"/>
            <w:gridSpan w:val="2"/>
            <w:tcBorders>
              <w:top w:val="single" w:color="auto" w:sz="4" w:space="0"/>
              <w:left w:val="single" w:color="auto" w:sz="4" w:space="0"/>
              <w:right w:val="single" w:color="auto" w:sz="4" w:space="0"/>
            </w:tcBorders>
            <w:shd w:val="clear" w:color="auto" w:fill="FFFFFF"/>
            <w:vAlign w:val="bottom"/>
          </w:tcPr>
          <w:p>
            <w:pPr>
              <w:pStyle w:val="10"/>
              <w:adjustRightInd w:val="0"/>
              <w:snapToGrid w:val="0"/>
              <w:spacing w:after="0" w:line="240" w:lineRule="auto"/>
              <w:ind w:firstLine="0"/>
              <w:jc w:val="center"/>
              <w:rPr>
                <w:rFonts w:ascii="黑体" w:hAnsi="黑体" w:eastAsia="黑体" w:cs="黑体"/>
                <w:color w:val="000000"/>
              </w:rPr>
            </w:pPr>
            <w:r>
              <w:rPr>
                <w:szCs w:val="21"/>
              </w:rPr>
              <w:t>美国热电公司PASCL</w:t>
            </w:r>
          </w:p>
        </w:tc>
      </w:tr>
      <w:tr>
        <w:tblPrEx>
          <w:tblCellMar>
            <w:top w:w="0" w:type="dxa"/>
            <w:left w:w="10" w:type="dxa"/>
            <w:bottom w:w="0" w:type="dxa"/>
            <w:right w:w="10" w:type="dxa"/>
          </w:tblCellMar>
        </w:tblPrEx>
        <w:trPr>
          <w:trHeight w:val="447" w:hRule="atLeast"/>
          <w:jc w:val="center"/>
        </w:trPr>
        <w:tc>
          <w:tcPr>
            <w:tcW w:w="991" w:type="dxa"/>
            <w:vMerge w:val="restart"/>
            <w:tcBorders>
              <w:top w:val="single" w:color="auto" w:sz="4" w:space="0"/>
              <w:left w:val="single" w:color="auto" w:sz="4" w:space="0"/>
            </w:tcBorders>
            <w:shd w:val="clear" w:color="auto" w:fill="FFFFFF"/>
            <w:vAlign w:val="center"/>
          </w:tcPr>
          <w:p>
            <w:pPr>
              <w:pStyle w:val="10"/>
              <w:spacing w:after="0" w:line="324" w:lineRule="exact"/>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主要性能</w:t>
            </w:r>
          </w:p>
          <w:p>
            <w:pPr>
              <w:pStyle w:val="10"/>
              <w:spacing w:after="0" w:line="324"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指标</w:t>
            </w: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ascii="仿宋_GB2312" w:hAnsi="仿宋_GB2312" w:eastAsia="仿宋_GB2312" w:cs="仿宋_GB2312"/>
              </w:rPr>
              <w:t>低压站</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4</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2</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0</w:t>
            </w:r>
          </w:p>
        </w:tc>
      </w:tr>
      <w:tr>
        <w:tblPrEx>
          <w:tblCellMar>
            <w:top w:w="0" w:type="dxa"/>
            <w:left w:w="10" w:type="dxa"/>
            <w:bottom w:w="0" w:type="dxa"/>
            <w:right w:w="10" w:type="dxa"/>
          </w:tblCellMar>
        </w:tblPrEx>
        <w:trPr>
          <w:trHeight w:val="402"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高压站</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2</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2</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hint="eastAsia" w:ascii="仿宋_GB2312" w:hAnsi="仿宋_GB2312" w:eastAsia="仿宋_GB2312" w:cs="仿宋_GB2312"/>
                <w:lang w:eastAsia="zh-CN"/>
              </w:rPr>
            </w:pPr>
            <w:r>
              <w:rPr>
                <w:rFonts w:hint="eastAsia" w:ascii="仿宋_GB2312" w:hAnsi="仿宋_GB2312" w:eastAsia="仿宋_GB2312" w:cs="仿宋_GB2312"/>
                <w:lang w:eastAsia="zh-CN"/>
              </w:rPr>
              <w:t>1</w:t>
            </w:r>
          </w:p>
        </w:tc>
      </w:tr>
      <w:tr>
        <w:tblPrEx>
          <w:tblCellMar>
            <w:top w:w="0" w:type="dxa"/>
            <w:left w:w="10" w:type="dxa"/>
            <w:bottom w:w="0" w:type="dxa"/>
            <w:right w:w="10" w:type="dxa"/>
          </w:tblCellMar>
        </w:tblPrEx>
        <w:trPr>
          <w:trHeight w:val="40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样品管体积</w:t>
            </w:r>
          </w:p>
        </w:tc>
        <w:tc>
          <w:tcPr>
            <w:tcW w:w="2220" w:type="dxa"/>
            <w:tcBorders>
              <w:top w:val="single" w:color="auto" w:sz="4" w:space="0"/>
              <w:left w:val="single" w:color="auto" w:sz="4" w:space="0"/>
            </w:tcBorders>
            <w:shd w:val="clear" w:color="auto" w:fill="FFFFFF"/>
            <w:vAlign w:val="center"/>
          </w:tcPr>
          <w:p>
            <w:pPr>
              <w:jc w:val="center"/>
              <w:rPr>
                <w:szCs w:val="21"/>
              </w:rPr>
            </w:pPr>
            <w:r>
              <w:rPr>
                <w:szCs w:val="21"/>
              </w:rPr>
              <w:t>0.1 μL</w:t>
            </w:r>
          </w:p>
        </w:tc>
        <w:tc>
          <w:tcPr>
            <w:tcW w:w="2235" w:type="dxa"/>
            <w:gridSpan w:val="2"/>
            <w:tcBorders>
              <w:top w:val="single" w:color="auto" w:sz="4" w:space="0"/>
              <w:left w:val="single" w:color="auto" w:sz="4" w:space="0"/>
            </w:tcBorders>
            <w:shd w:val="clear" w:color="auto" w:fill="FFFFFF"/>
            <w:vAlign w:val="center"/>
          </w:tcPr>
          <w:p>
            <w:pPr>
              <w:jc w:val="center"/>
              <w:rPr>
                <w:szCs w:val="21"/>
              </w:rPr>
            </w:pPr>
            <w:r>
              <w:rPr>
                <w:szCs w:val="21"/>
              </w:rPr>
              <w:t>0.1 μL</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szCs w:val="21"/>
              </w:rPr>
            </w:pPr>
            <w:r>
              <w:rPr>
                <w:szCs w:val="21"/>
              </w:rPr>
              <w:t>0.1 μL</w:t>
            </w:r>
          </w:p>
        </w:tc>
      </w:tr>
      <w:tr>
        <w:tblPrEx>
          <w:tblCellMar>
            <w:top w:w="0" w:type="dxa"/>
            <w:left w:w="10" w:type="dxa"/>
            <w:bottom w:w="0" w:type="dxa"/>
            <w:right w:w="10" w:type="dxa"/>
          </w:tblCellMar>
        </w:tblPrEx>
        <w:trPr>
          <w:trHeight w:val="4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jc w:val="center"/>
              <w:rPr>
                <w:szCs w:val="21"/>
              </w:rPr>
            </w:pPr>
            <w:r>
              <w:rPr>
                <w:szCs w:val="21"/>
              </w:rPr>
              <w:t>孔径范围</w:t>
            </w:r>
          </w:p>
        </w:tc>
        <w:tc>
          <w:tcPr>
            <w:tcW w:w="2220" w:type="dxa"/>
            <w:tcBorders>
              <w:top w:val="single" w:color="auto" w:sz="4" w:space="0"/>
              <w:left w:val="single" w:color="auto" w:sz="4" w:space="0"/>
            </w:tcBorders>
            <w:shd w:val="clear" w:color="auto" w:fill="FFFFFF"/>
            <w:vAlign w:val="center"/>
          </w:tcPr>
          <w:p>
            <w:pPr>
              <w:jc w:val="center"/>
              <w:rPr>
                <w:szCs w:val="21"/>
              </w:rPr>
            </w:pPr>
            <w:r>
              <w:rPr>
                <w:szCs w:val="21"/>
              </w:rPr>
              <w:t>960-0.0055微米</w:t>
            </w:r>
          </w:p>
        </w:tc>
        <w:tc>
          <w:tcPr>
            <w:tcW w:w="2235" w:type="dxa"/>
            <w:gridSpan w:val="2"/>
            <w:tcBorders>
              <w:top w:val="single" w:color="auto" w:sz="4" w:space="0"/>
              <w:left w:val="single" w:color="auto" w:sz="4" w:space="0"/>
            </w:tcBorders>
            <w:shd w:val="clear" w:color="auto" w:fill="FFFFFF"/>
            <w:vAlign w:val="center"/>
          </w:tcPr>
          <w:p>
            <w:pPr>
              <w:jc w:val="center"/>
              <w:rPr>
                <w:szCs w:val="21"/>
              </w:rPr>
            </w:pPr>
            <w:r>
              <w:rPr>
                <w:szCs w:val="21"/>
              </w:rPr>
              <w:t>1080-0.01微米</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szCs w:val="21"/>
              </w:rPr>
            </w:pPr>
            <w:r>
              <w:rPr>
                <w:szCs w:val="21"/>
              </w:rPr>
              <w:t>1100-0.0064微米</w:t>
            </w:r>
          </w:p>
        </w:tc>
      </w:tr>
      <w:tr>
        <w:tblPrEx>
          <w:tblCellMar>
            <w:top w:w="0" w:type="dxa"/>
            <w:left w:w="10" w:type="dxa"/>
            <w:bottom w:w="0" w:type="dxa"/>
            <w:right w:w="10" w:type="dxa"/>
          </w:tblCellMar>
        </w:tblPrEx>
        <w:trPr>
          <w:trHeight w:val="38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jc w:val="center"/>
              <w:rPr>
                <w:szCs w:val="21"/>
              </w:rPr>
            </w:pPr>
            <w:r>
              <w:rPr>
                <w:szCs w:val="21"/>
              </w:rPr>
              <w:t>压力传感器低压范围</w:t>
            </w:r>
          </w:p>
        </w:tc>
        <w:tc>
          <w:tcPr>
            <w:tcW w:w="2220" w:type="dxa"/>
            <w:tcBorders>
              <w:top w:val="single" w:color="auto" w:sz="4" w:space="0"/>
              <w:left w:val="single" w:color="auto" w:sz="4" w:space="0"/>
            </w:tcBorders>
            <w:shd w:val="clear" w:color="auto" w:fill="FFFFFF"/>
            <w:vAlign w:val="center"/>
          </w:tcPr>
          <w:p>
            <w:pPr>
              <w:jc w:val="center"/>
              <w:rPr>
                <w:szCs w:val="21"/>
              </w:rPr>
            </w:pPr>
            <w:r>
              <w:rPr>
                <w:szCs w:val="21"/>
              </w:rPr>
              <w:t>0-50psia</w:t>
            </w:r>
          </w:p>
        </w:tc>
        <w:tc>
          <w:tcPr>
            <w:tcW w:w="2235" w:type="dxa"/>
            <w:gridSpan w:val="2"/>
            <w:tcBorders>
              <w:top w:val="single" w:color="auto" w:sz="4" w:space="0"/>
              <w:left w:val="single" w:color="auto" w:sz="4" w:space="0"/>
            </w:tcBorders>
            <w:shd w:val="clear" w:color="auto" w:fill="FFFFFF"/>
            <w:vAlign w:val="center"/>
          </w:tcPr>
          <w:p>
            <w:pPr>
              <w:jc w:val="center"/>
              <w:rPr>
                <w:szCs w:val="21"/>
              </w:rPr>
            </w:pPr>
            <w:r>
              <w:rPr>
                <w:szCs w:val="21"/>
              </w:rPr>
              <w:t>0-50psia</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szCs w:val="21"/>
              </w:rPr>
            </w:pPr>
            <w:r>
              <w:rPr>
                <w:szCs w:val="21"/>
              </w:rPr>
              <w:t>0-50psia</w:t>
            </w:r>
          </w:p>
        </w:tc>
      </w:tr>
      <w:tr>
        <w:tblPrEx>
          <w:tblCellMar>
            <w:top w:w="0" w:type="dxa"/>
            <w:left w:w="10" w:type="dxa"/>
            <w:bottom w:w="0" w:type="dxa"/>
            <w:right w:w="10" w:type="dxa"/>
          </w:tblCellMar>
        </w:tblPrEx>
        <w:trPr>
          <w:trHeight w:val="452"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jc w:val="center"/>
              <w:rPr>
                <w:szCs w:val="21"/>
              </w:rPr>
            </w:pPr>
            <w:r>
              <w:rPr>
                <w:szCs w:val="21"/>
              </w:rPr>
              <w:t>压力传感器高压范围</w:t>
            </w:r>
          </w:p>
        </w:tc>
        <w:tc>
          <w:tcPr>
            <w:tcW w:w="2220" w:type="dxa"/>
            <w:tcBorders>
              <w:top w:val="single" w:color="auto" w:sz="4" w:space="0"/>
              <w:left w:val="single" w:color="auto" w:sz="4" w:space="0"/>
            </w:tcBorders>
            <w:shd w:val="clear" w:color="auto" w:fill="FFFFFF"/>
            <w:vAlign w:val="center"/>
          </w:tcPr>
          <w:p>
            <w:pPr>
              <w:jc w:val="center"/>
              <w:rPr>
                <w:szCs w:val="21"/>
              </w:rPr>
            </w:pPr>
            <w:r>
              <w:rPr>
                <w:szCs w:val="21"/>
              </w:rPr>
              <w:t>14.5-33000psia</w:t>
            </w:r>
          </w:p>
        </w:tc>
        <w:tc>
          <w:tcPr>
            <w:tcW w:w="2235" w:type="dxa"/>
            <w:gridSpan w:val="2"/>
            <w:tcBorders>
              <w:top w:val="single" w:color="auto" w:sz="4" w:space="0"/>
              <w:left w:val="single" w:color="auto" w:sz="4" w:space="0"/>
            </w:tcBorders>
            <w:shd w:val="clear" w:color="auto" w:fill="FFFFFF"/>
            <w:vAlign w:val="center"/>
          </w:tcPr>
          <w:p>
            <w:pPr>
              <w:jc w:val="center"/>
              <w:rPr>
                <w:szCs w:val="21"/>
              </w:rPr>
            </w:pPr>
            <w:r>
              <w:rPr>
                <w:szCs w:val="21"/>
              </w:rPr>
              <w:t>20-33000psia</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szCs w:val="21"/>
              </w:rPr>
            </w:pPr>
            <w:r>
              <w:rPr>
                <w:szCs w:val="21"/>
              </w:rPr>
              <w:t>20-20000psia</w:t>
            </w:r>
          </w:p>
        </w:tc>
      </w:tr>
      <w:tr>
        <w:tblPrEx>
          <w:tblCellMar>
            <w:top w:w="0" w:type="dxa"/>
            <w:left w:w="10" w:type="dxa"/>
            <w:bottom w:w="0" w:type="dxa"/>
            <w:right w:w="10" w:type="dxa"/>
          </w:tblCellMar>
        </w:tblPrEx>
        <w:trPr>
          <w:trHeight w:val="40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jc w:val="center"/>
              <w:rPr>
                <w:szCs w:val="21"/>
              </w:rPr>
            </w:pPr>
            <w:r>
              <w:rPr>
                <w:szCs w:val="21"/>
              </w:rPr>
              <w:t>传感器重复性</w:t>
            </w:r>
          </w:p>
        </w:tc>
        <w:tc>
          <w:tcPr>
            <w:tcW w:w="2220" w:type="dxa"/>
            <w:tcBorders>
              <w:top w:val="single" w:color="auto" w:sz="4" w:space="0"/>
              <w:left w:val="single" w:color="auto" w:sz="4" w:space="0"/>
            </w:tcBorders>
            <w:shd w:val="clear" w:color="auto" w:fill="FFFFFF"/>
            <w:vAlign w:val="center"/>
          </w:tcPr>
          <w:p>
            <w:pPr>
              <w:jc w:val="center"/>
              <w:rPr>
                <w:szCs w:val="21"/>
              </w:rPr>
            </w:pPr>
            <w:r>
              <w:rPr>
                <w:szCs w:val="21"/>
              </w:rPr>
              <w:t>0.015%</w:t>
            </w:r>
          </w:p>
        </w:tc>
        <w:tc>
          <w:tcPr>
            <w:tcW w:w="2235" w:type="dxa"/>
            <w:gridSpan w:val="2"/>
            <w:tcBorders>
              <w:top w:val="single" w:color="auto" w:sz="4" w:space="0"/>
              <w:left w:val="single" w:color="auto" w:sz="4" w:space="0"/>
            </w:tcBorders>
            <w:shd w:val="clear" w:color="auto" w:fill="FFFFFF"/>
            <w:vAlign w:val="center"/>
          </w:tcPr>
          <w:p>
            <w:pPr>
              <w:jc w:val="center"/>
              <w:rPr>
                <w:szCs w:val="21"/>
              </w:rPr>
            </w:pPr>
            <w:r>
              <w:rPr>
                <w:szCs w:val="21"/>
              </w:rPr>
              <w:t>0.02%</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szCs w:val="21"/>
              </w:rPr>
            </w:pPr>
            <w:r>
              <w:rPr>
                <w:szCs w:val="21"/>
              </w:rPr>
              <w:t>0.01%</w:t>
            </w:r>
          </w:p>
        </w:tc>
      </w:tr>
      <w:tr>
        <w:tblPrEx>
          <w:tblCellMar>
            <w:top w:w="0" w:type="dxa"/>
            <w:left w:w="10" w:type="dxa"/>
            <w:bottom w:w="0" w:type="dxa"/>
            <w:right w:w="10" w:type="dxa"/>
          </w:tblCellMar>
        </w:tblPrEx>
        <w:trPr>
          <w:trHeight w:val="4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jc w:val="center"/>
              <w:rPr>
                <w:szCs w:val="21"/>
              </w:rPr>
            </w:pPr>
            <w:r>
              <w:rPr>
                <w:szCs w:val="21"/>
              </w:rPr>
              <w:t>数据分辨率</w:t>
            </w:r>
          </w:p>
        </w:tc>
        <w:tc>
          <w:tcPr>
            <w:tcW w:w="2220" w:type="dxa"/>
            <w:tcBorders>
              <w:top w:val="single" w:color="auto" w:sz="4" w:space="0"/>
              <w:left w:val="single" w:color="auto" w:sz="4" w:space="0"/>
            </w:tcBorders>
            <w:shd w:val="clear" w:color="auto" w:fill="FFFFFF"/>
            <w:vAlign w:val="center"/>
          </w:tcPr>
          <w:p>
            <w:pPr>
              <w:jc w:val="center"/>
              <w:rPr>
                <w:szCs w:val="21"/>
              </w:rPr>
            </w:pPr>
            <w:r>
              <w:rPr>
                <w:szCs w:val="21"/>
              </w:rPr>
              <w:t>多达2500数据点</w:t>
            </w:r>
          </w:p>
        </w:tc>
        <w:tc>
          <w:tcPr>
            <w:tcW w:w="2235" w:type="dxa"/>
            <w:gridSpan w:val="2"/>
            <w:tcBorders>
              <w:top w:val="single" w:color="auto" w:sz="4" w:space="0"/>
              <w:left w:val="single" w:color="auto" w:sz="4" w:space="0"/>
            </w:tcBorders>
            <w:shd w:val="clear" w:color="auto" w:fill="FFFFFF"/>
            <w:vAlign w:val="center"/>
          </w:tcPr>
          <w:p>
            <w:pPr>
              <w:jc w:val="center"/>
              <w:rPr>
                <w:szCs w:val="21"/>
              </w:rPr>
            </w:pPr>
            <w:r>
              <w:rPr>
                <w:szCs w:val="21"/>
              </w:rPr>
              <w:t>多达2000数据点</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szCs w:val="21"/>
              </w:rPr>
            </w:pPr>
            <w:r>
              <w:rPr>
                <w:szCs w:val="21"/>
              </w:rPr>
              <w:t>多达1000数据点</w:t>
            </w:r>
          </w:p>
        </w:tc>
      </w:tr>
      <w:tr>
        <w:tblPrEx>
          <w:tblCellMar>
            <w:top w:w="0" w:type="dxa"/>
            <w:left w:w="10" w:type="dxa"/>
            <w:bottom w:w="0" w:type="dxa"/>
            <w:right w:w="10" w:type="dxa"/>
          </w:tblCellMar>
        </w:tblPrEx>
        <w:trPr>
          <w:trHeight w:val="667"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jc w:val="center"/>
              <w:rPr>
                <w:szCs w:val="21"/>
              </w:rPr>
            </w:pPr>
            <w:r>
              <w:rPr>
                <w:szCs w:val="21"/>
              </w:rPr>
              <w:t>低压站</w:t>
            </w:r>
          </w:p>
        </w:tc>
        <w:tc>
          <w:tcPr>
            <w:tcW w:w="2220" w:type="dxa"/>
            <w:tcBorders>
              <w:top w:val="single" w:color="auto" w:sz="4" w:space="0"/>
              <w:left w:val="single" w:color="auto" w:sz="4" w:space="0"/>
            </w:tcBorders>
            <w:shd w:val="clear" w:color="auto" w:fill="FFFFFF"/>
            <w:vAlign w:val="center"/>
          </w:tcPr>
          <w:p>
            <w:pPr>
              <w:jc w:val="center"/>
              <w:rPr>
                <w:szCs w:val="21"/>
              </w:rPr>
            </w:pPr>
            <w:r>
              <w:rPr>
                <w:szCs w:val="21"/>
              </w:rPr>
              <w:t>横置，防止汞柱自身压力导致损失大孔数据</w:t>
            </w:r>
          </w:p>
        </w:tc>
        <w:tc>
          <w:tcPr>
            <w:tcW w:w="2235" w:type="dxa"/>
            <w:gridSpan w:val="2"/>
            <w:tcBorders>
              <w:top w:val="single" w:color="auto" w:sz="4" w:space="0"/>
              <w:left w:val="single" w:color="auto" w:sz="4" w:space="0"/>
            </w:tcBorders>
            <w:shd w:val="clear" w:color="auto" w:fill="FFFFFF"/>
            <w:vAlign w:val="center"/>
          </w:tcPr>
          <w:p>
            <w:pPr>
              <w:jc w:val="center"/>
              <w:rPr>
                <w:szCs w:val="21"/>
              </w:rPr>
            </w:pPr>
            <w:r>
              <w:rPr>
                <w:szCs w:val="21"/>
              </w:rPr>
              <w:t>纵置，损失大孔数据</w:t>
            </w:r>
          </w:p>
        </w:tc>
        <w:tc>
          <w:tcPr>
            <w:tcW w:w="2235" w:type="dxa"/>
            <w:gridSpan w:val="2"/>
            <w:tcBorders>
              <w:top w:val="single" w:color="auto" w:sz="4" w:space="0"/>
              <w:left w:val="single" w:color="auto" w:sz="4" w:space="0"/>
              <w:right w:val="single" w:color="auto" w:sz="4" w:space="0"/>
            </w:tcBorders>
            <w:shd w:val="clear" w:color="auto" w:fill="FFFFFF"/>
            <w:vAlign w:val="center"/>
          </w:tcPr>
          <w:p>
            <w:pPr>
              <w:jc w:val="center"/>
              <w:rPr>
                <w:szCs w:val="21"/>
              </w:rPr>
            </w:pPr>
            <w:r>
              <w:rPr>
                <w:szCs w:val="21"/>
              </w:rPr>
              <w:t>45度角斜置，损失部分大孔数据</w:t>
            </w:r>
          </w:p>
        </w:tc>
      </w:tr>
      <w:tr>
        <w:tblPrEx>
          <w:tblCellMar>
            <w:top w:w="0" w:type="dxa"/>
            <w:left w:w="10" w:type="dxa"/>
            <w:bottom w:w="0" w:type="dxa"/>
            <w:right w:w="10" w:type="dxa"/>
          </w:tblCellMar>
        </w:tblPrEx>
        <w:trPr>
          <w:trHeight w:val="457" w:hRule="atLeast"/>
          <w:jc w:val="center"/>
        </w:trPr>
        <w:tc>
          <w:tcPr>
            <w:tcW w:w="991" w:type="dxa"/>
            <w:vMerge w:val="restart"/>
            <w:tcBorders>
              <w:top w:val="single" w:color="auto" w:sz="4" w:space="0"/>
              <w:left w:val="single" w:color="auto" w:sz="4" w:space="0"/>
            </w:tcBorders>
            <w:shd w:val="clear" w:color="auto" w:fill="FFFFFF"/>
            <w:vAlign w:val="center"/>
          </w:tcPr>
          <w:p>
            <w:pPr>
              <w:pStyle w:val="10"/>
              <w:spacing w:after="0" w:line="313" w:lineRule="exact"/>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市场情况</w:t>
            </w:r>
          </w:p>
          <w:p>
            <w:pPr>
              <w:pStyle w:val="10"/>
              <w:spacing w:after="0" w:line="313" w:lineRule="exact"/>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和价格比</w:t>
            </w:r>
          </w:p>
          <w:p>
            <w:pPr>
              <w:pStyle w:val="10"/>
              <w:spacing w:after="0" w:line="313"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较</w:t>
            </w: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市场情况</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研发机构使用最多</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部分机构使用</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使用单位很少</w:t>
            </w:r>
          </w:p>
        </w:tc>
      </w:tr>
      <w:tr>
        <w:tblPrEx>
          <w:tblCellMar>
            <w:top w:w="0" w:type="dxa"/>
            <w:left w:w="10" w:type="dxa"/>
            <w:bottom w:w="0" w:type="dxa"/>
            <w:right w:w="10" w:type="dxa"/>
          </w:tblCellMar>
        </w:tblPrEx>
        <w:trPr>
          <w:trHeight w:val="561" w:hRule="atLeast"/>
          <w:jc w:val="center"/>
        </w:trPr>
        <w:tc>
          <w:tcPr>
            <w:tcW w:w="991" w:type="dxa"/>
            <w:vMerge w:val="continue"/>
            <w:tcBorders>
              <w:left w:val="single" w:color="auto" w:sz="4" w:space="0"/>
            </w:tcBorders>
            <w:shd w:val="clear" w:color="auto" w:fill="FFFFFF"/>
            <w:vAlign w:val="center"/>
          </w:tcPr>
          <w:p>
            <w:pPr>
              <w:rPr>
                <w:rFonts w:ascii="仿宋_GB2312" w:hAnsi="仿宋_GB2312" w:eastAsia="仿宋_GB2312" w:cs="仿宋_GB2312"/>
              </w:rPr>
            </w:pPr>
          </w:p>
        </w:tc>
        <w:tc>
          <w:tcPr>
            <w:tcW w:w="2085"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hint="eastAsia" w:ascii="仿宋_GB2312" w:hAnsi="仿宋_GB2312" w:eastAsia="仿宋_GB2312" w:cs="仿宋_GB2312"/>
                <w:color w:val="000000"/>
              </w:rPr>
              <w:t>价格</w:t>
            </w:r>
          </w:p>
        </w:tc>
        <w:tc>
          <w:tcPr>
            <w:tcW w:w="2220" w:type="dxa"/>
            <w:tcBorders>
              <w:top w:val="single" w:color="auto" w:sz="4" w:space="0"/>
              <w:lef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ascii="仿宋_GB2312" w:hAnsi="仿宋_GB2312" w:eastAsia="PMingLiU" w:cs="仿宋_GB2312"/>
                <w:b/>
                <w:bCs/>
                <w:color w:val="000000"/>
              </w:rPr>
              <w:t>79.8</w:t>
            </w:r>
            <w:r>
              <w:rPr>
                <w:rFonts w:hint="eastAsia" w:ascii="仿宋_GB2312" w:hAnsi="仿宋_GB2312" w:eastAsia="仿宋_GB2312" w:cs="仿宋_GB2312"/>
                <w:color w:val="000000"/>
              </w:rPr>
              <w:t>万</w:t>
            </w:r>
          </w:p>
        </w:tc>
        <w:tc>
          <w:tcPr>
            <w:tcW w:w="2235" w:type="dxa"/>
            <w:gridSpan w:val="2"/>
            <w:tcBorders>
              <w:top w:val="single" w:color="auto" w:sz="4" w:space="0"/>
              <w:lef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ascii="仿宋_GB2312" w:hAnsi="仿宋_GB2312" w:eastAsia="PMingLiU" w:cs="仿宋_GB2312"/>
                <w:b/>
                <w:bCs/>
                <w:color w:val="000000"/>
              </w:rPr>
              <w:t>80</w:t>
            </w:r>
            <w:r>
              <w:rPr>
                <w:rFonts w:hint="eastAsia" w:ascii="仿宋_GB2312" w:hAnsi="仿宋_GB2312" w:eastAsia="仿宋_GB2312" w:cs="仿宋_GB2312"/>
                <w:color w:val="000000"/>
              </w:rPr>
              <w:t>万</w:t>
            </w:r>
          </w:p>
        </w:tc>
        <w:tc>
          <w:tcPr>
            <w:tcW w:w="2235" w:type="dxa"/>
            <w:gridSpan w:val="2"/>
            <w:tcBorders>
              <w:top w:val="single" w:color="auto" w:sz="4" w:space="0"/>
              <w:left w:val="single" w:color="auto" w:sz="4" w:space="0"/>
              <w:right w:val="single" w:color="auto" w:sz="4" w:space="0"/>
            </w:tcBorders>
            <w:shd w:val="clear" w:color="auto" w:fill="FFFFFF"/>
            <w:vAlign w:val="center"/>
          </w:tcPr>
          <w:p>
            <w:pPr>
              <w:pStyle w:val="10"/>
              <w:spacing w:after="0" w:line="240" w:lineRule="auto"/>
              <w:ind w:firstLine="0"/>
              <w:jc w:val="center"/>
              <w:rPr>
                <w:rFonts w:ascii="仿宋_GB2312" w:hAnsi="仿宋_GB2312" w:eastAsia="仿宋_GB2312" w:cs="仿宋_GB2312"/>
              </w:rPr>
            </w:pPr>
            <w:r>
              <w:rPr>
                <w:rFonts w:ascii="仿宋_GB2312" w:hAnsi="仿宋_GB2312" w:eastAsia="仿宋_GB2312" w:cs="仿宋_GB2312"/>
                <w:b/>
                <w:bCs/>
                <w:color w:val="000000"/>
                <w:lang w:val="en-US" w:eastAsia="en-US" w:bidi="en-US"/>
              </w:rPr>
              <w:t>85</w:t>
            </w:r>
            <w:r>
              <w:rPr>
                <w:rFonts w:hint="eastAsia" w:ascii="仿宋_GB2312" w:hAnsi="仿宋_GB2312" w:eastAsia="仿宋_GB2312" w:cs="仿宋_GB2312"/>
                <w:b/>
                <w:bCs/>
                <w:color w:val="000000"/>
                <w:lang w:val="en-US" w:eastAsia="en-US" w:bidi="en-US"/>
              </w:rPr>
              <w:t xml:space="preserve"> </w:t>
            </w:r>
            <w:r>
              <w:rPr>
                <w:rFonts w:hint="eastAsia" w:ascii="仿宋_GB2312" w:hAnsi="仿宋_GB2312" w:eastAsia="仿宋_GB2312" w:cs="仿宋_GB2312"/>
                <w:color w:val="000000"/>
              </w:rPr>
              <w:t>万</w:t>
            </w:r>
          </w:p>
        </w:tc>
      </w:tr>
      <w:tr>
        <w:tblPrEx>
          <w:tblCellMar>
            <w:top w:w="0" w:type="dxa"/>
            <w:left w:w="10" w:type="dxa"/>
            <w:bottom w:w="0" w:type="dxa"/>
            <w:right w:w="10" w:type="dxa"/>
          </w:tblCellMar>
        </w:tblPrEx>
        <w:trPr>
          <w:trHeight w:val="2543" w:hRule="exact"/>
          <w:jc w:val="center"/>
        </w:trPr>
        <w:tc>
          <w:tcPr>
            <w:tcW w:w="991" w:type="dxa"/>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售后服务</w:t>
            </w:r>
          </w:p>
        </w:tc>
        <w:tc>
          <w:tcPr>
            <w:tcW w:w="2085" w:type="dxa"/>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ascii="仿宋_GB2312" w:hAnsi="仿宋_GB2312" w:eastAsia="仿宋_GB2312" w:cs="仿宋_GB2312"/>
                <w:color w:val="000000"/>
              </w:rPr>
            </w:pPr>
            <w:r>
              <w:rPr>
                <w:rFonts w:hint="eastAsia" w:ascii="仿宋_GB2312" w:hAnsi="仿宋_GB2312" w:eastAsia="仿宋_GB2312" w:cs="仿宋_GB2312"/>
                <w:color w:val="000000"/>
              </w:rPr>
              <w:t>技术支持及</w:t>
            </w:r>
          </w:p>
          <w:p>
            <w:pPr>
              <w:pStyle w:val="10"/>
              <w:spacing w:after="0" w:line="240"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服务响应</w:t>
            </w:r>
          </w:p>
        </w:tc>
        <w:tc>
          <w:tcPr>
            <w:tcW w:w="2220" w:type="dxa"/>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ascii="仿宋_GB2312" w:hAnsi="仿宋_GB2312" w:eastAsia="仿宋_GB2312" w:cs="仿宋_GB2312"/>
              </w:rPr>
            </w:pPr>
            <w:r>
              <w:rPr>
                <w:rFonts w:hint="eastAsia" w:ascii="仿宋_GB2312" w:hAnsi="仿宋_GB2312" w:eastAsia="仿宋_GB2312" w:cs="仿宋_GB2312"/>
                <w:color w:val="000000"/>
              </w:rPr>
              <w:t>厦</w:t>
            </w:r>
            <w:r>
              <w:rPr>
                <w:rFonts w:ascii="仿宋_GB2312" w:hAnsi="仿宋_GB2312" w:eastAsia="仿宋_GB2312" w:cs="仿宋_GB2312"/>
                <w:color w:val="000000"/>
              </w:rPr>
              <w:t>国内子公司，在厦门设有专门负责福建省的售后服务点，专业的压汞仪工程师有14名，在麦克的工作年限均超过5年，最长18年，3名博士应用工程师，售后和应用服务都非常好。可做到48小时内上门服务。</w:t>
            </w:r>
          </w:p>
        </w:tc>
        <w:tc>
          <w:tcPr>
            <w:tcW w:w="2235" w:type="dxa"/>
            <w:gridSpan w:val="2"/>
            <w:tcBorders>
              <w:top w:val="single" w:color="auto" w:sz="4" w:space="0"/>
              <w:left w:val="single" w:color="auto" w:sz="4" w:space="0"/>
              <w:bottom w:val="single" w:color="auto" w:sz="4" w:space="0"/>
            </w:tcBorders>
            <w:shd w:val="clear" w:color="auto" w:fill="FFFFFF"/>
            <w:vAlign w:val="center"/>
          </w:tcPr>
          <w:p>
            <w:pPr>
              <w:pStyle w:val="10"/>
              <w:spacing w:after="0" w:line="240" w:lineRule="exact"/>
              <w:ind w:firstLine="0"/>
              <w:jc w:val="center"/>
              <w:rPr>
                <w:rFonts w:ascii="仿宋_GB2312" w:hAnsi="仿宋_GB2312" w:eastAsia="仿宋_GB2312" w:cs="仿宋_GB2312"/>
              </w:rPr>
            </w:pPr>
            <w:r>
              <w:rPr>
                <w:rFonts w:ascii="仿宋_GB2312" w:hAnsi="仿宋_GB2312" w:eastAsia="仿宋_GB2312" w:cs="仿宋_GB2312"/>
                <w:color w:val="000000"/>
              </w:rPr>
              <w:t>在中国有子公司，总公司安东帕在全国有50个左右的售后工程师，20名左右的应用工程师，但是康塔部门仅数名工程师和1~2名应用工程师，售后服务费用较高，售后响应较快。</w:t>
            </w:r>
          </w:p>
        </w:tc>
        <w:tc>
          <w:tcPr>
            <w:tcW w:w="2235"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10"/>
              <w:spacing w:after="0" w:line="240" w:lineRule="exact"/>
              <w:ind w:firstLine="0"/>
              <w:jc w:val="center"/>
              <w:rPr>
                <w:rFonts w:ascii="仿宋_GB2312" w:hAnsi="仿宋_GB2312" w:eastAsia="仿宋_GB2312" w:cs="仿宋_GB2312"/>
              </w:rPr>
            </w:pPr>
            <w:r>
              <w:rPr>
                <w:rFonts w:ascii="仿宋_GB2312" w:hAnsi="仿宋_GB2312" w:eastAsia="仿宋_GB2312" w:cs="仿宋_GB2312"/>
                <w:color w:val="000000"/>
              </w:rPr>
              <w:t>国内由代理商代理，没有专业的售后，服务响应时间较长</w:t>
            </w:r>
          </w:p>
        </w:tc>
      </w:tr>
    </w:tbl>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四、条件准备情况</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实验室具备电（220V单相电源）、通风（排气系统）、氮气等安装条件。</w:t>
      </w:r>
    </w:p>
    <w:p>
      <w:pPr>
        <w:snapToGrid w:val="0"/>
        <w:spacing w:line="540" w:lineRule="exact"/>
        <w:ind w:firstLine="640" w:firstLineChars="200"/>
        <w:jc w:val="left"/>
        <w:rPr>
          <w:rFonts w:hint="eastAsia" w:ascii="黑体" w:hAnsi="黑体" w:eastAsia="黑体" w:cs="黑体"/>
          <w:color w:val="000000"/>
          <w:sz w:val="32"/>
          <w:szCs w:val="32"/>
        </w:rPr>
      </w:pPr>
      <w:r>
        <w:rPr>
          <w:rFonts w:hint="eastAsia" w:ascii="黑体" w:hAnsi="黑体" w:eastAsia="黑体" w:cs="黑体"/>
          <w:color w:val="000000"/>
          <w:sz w:val="32"/>
          <w:szCs w:val="32"/>
        </w:rPr>
        <w:t>五、可能存在的安全性问题</w:t>
      </w:r>
    </w:p>
    <w:p>
      <w:pPr>
        <w:snapToGrid w:val="0"/>
        <w:spacing w:line="540" w:lineRule="exact"/>
        <w:ind w:firstLine="640" w:firstLineChars="200"/>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该设备使用过程无放射物产生，每年产生约5</w:t>
      </w:r>
      <w:r>
        <w:rPr>
          <w:rFonts w:ascii="仿宋_GB2312" w:hAnsi="仿宋_GB2312" w:eastAsia="仿宋_GB2312" w:cs="仿宋_GB2312"/>
          <w:color w:val="000000"/>
          <w:sz w:val="32"/>
          <w:szCs w:val="32"/>
        </w:rPr>
        <w:t>00 g</w:t>
      </w:r>
      <w:r>
        <w:rPr>
          <w:rFonts w:hint="eastAsia" w:ascii="仿宋_GB2312" w:hAnsi="仿宋_GB2312" w:eastAsia="仿宋_GB2312" w:cs="仿宋_GB2312"/>
          <w:color w:val="000000"/>
          <w:sz w:val="32"/>
          <w:szCs w:val="32"/>
        </w:rPr>
        <w:t>废汞，废汞用水密封保存，并定期由专业废汞公司回收处理。</w:t>
      </w: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0" distR="0" simplePos="0" relativeHeight="251659264" behindDoc="1" locked="0" layoutInCell="1" allowOverlap="1">
              <wp:simplePos x="0" y="0"/>
              <wp:positionH relativeFrom="page">
                <wp:posOffset>3839210</wp:posOffset>
              </wp:positionH>
              <wp:positionV relativeFrom="page">
                <wp:posOffset>10211435</wp:posOffset>
              </wp:positionV>
              <wp:extent cx="187325" cy="77470"/>
              <wp:effectExtent l="0" t="0" r="0" b="0"/>
              <wp:wrapNone/>
              <wp:docPr id="10" name="Shape 10"/>
              <wp:cNvGraphicFramePr/>
              <a:graphic xmlns:a="http://schemas.openxmlformats.org/drawingml/2006/main">
                <a:graphicData uri="http://schemas.microsoft.com/office/word/2010/wordprocessingShape">
                  <wps:wsp>
                    <wps:cNvSpPr txBox="1"/>
                    <wps:spPr>
                      <a:xfrm>
                        <a:off x="0" y="0"/>
                        <a:ext cx="187325" cy="77470"/>
                      </a:xfrm>
                      <a:prstGeom prst="rect">
                        <a:avLst/>
                      </a:prstGeom>
                      <a:noFill/>
                    </wps:spPr>
                    <wps:txbx>
                      <w:txbxContent>
                        <w:p>
                          <w:pPr>
                            <w:pStyle w:val="11"/>
                            <w:jc w:val="left"/>
                            <w:rPr>
                              <w:sz w:val="18"/>
                              <w:szCs w:val="18"/>
                            </w:rPr>
                          </w:pPr>
                        </w:p>
                      </w:txbxContent>
                    </wps:txbx>
                    <wps:bodyPr wrap="none" lIns="0" tIns="0" rIns="0" bIns="0">
                      <a:spAutoFit/>
                    </wps:bodyPr>
                  </wps:wsp>
                </a:graphicData>
              </a:graphic>
            </wp:anchor>
          </w:drawing>
        </mc:Choice>
        <mc:Fallback>
          <w:pict>
            <v:shape id="Shape 10" o:spid="_x0000_s1026" o:spt="202" type="#_x0000_t202" style="position:absolute;left:0pt;margin-left:302.3pt;margin-top:804.05pt;height:6.1pt;width:14.75pt;mso-position-horizontal-relative:page;mso-position-vertical-relative:page;mso-wrap-style:none;z-index:-251657216;mso-width-relative:page;mso-height-relative:page;" filled="f" stroked="f" coordsize="21600,21600" o:gfxdata="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KL9aJ2AAA&#10;AA0BAAAPAAAAAAAAAAEAIAAAACIAAABkcnMvZG93bnJldi54bWxQSwECFAAUAAAACACHTuJAuqom&#10;dawBAABwAwAADgAAAAAAAAABACAAAAAnAQAAZHJzL2Uyb0RvYy54bWxQSwUGAAAAAAYABgBZAQAA&#10;RQUAAAAA&#10;">
              <v:fill on="f" focussize="0,0"/>
              <v:stroke on="f"/>
              <v:imagedata o:title=""/>
              <o:lock v:ext="edit" aspectratio="f"/>
              <v:textbox inset="0mm,0mm,0mm,0mm" style="mso-fit-shape-to-text:t;">
                <w:txbxContent>
                  <w:p>
                    <w:pPr>
                      <w:pStyle w:val="11"/>
                      <w:jc w:val="left"/>
                      <w:rPr>
                        <w:sz w:val="18"/>
                        <w:szCs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130B5A"/>
    <w:rsid w:val="001A5921"/>
    <w:rsid w:val="0024624D"/>
    <w:rsid w:val="00292730"/>
    <w:rsid w:val="003025A0"/>
    <w:rsid w:val="0045688B"/>
    <w:rsid w:val="009817ED"/>
    <w:rsid w:val="00A32E4A"/>
    <w:rsid w:val="00AE1023"/>
    <w:rsid w:val="00E81D77"/>
    <w:rsid w:val="00EB7E60"/>
    <w:rsid w:val="01E201F8"/>
    <w:rsid w:val="01EA0E83"/>
    <w:rsid w:val="0301396B"/>
    <w:rsid w:val="05154E61"/>
    <w:rsid w:val="05B253F0"/>
    <w:rsid w:val="0ACD3951"/>
    <w:rsid w:val="0C2107A9"/>
    <w:rsid w:val="0CF462EF"/>
    <w:rsid w:val="108F4BD1"/>
    <w:rsid w:val="11C95F9C"/>
    <w:rsid w:val="1209283C"/>
    <w:rsid w:val="130628D8"/>
    <w:rsid w:val="1E592455"/>
    <w:rsid w:val="1FBB33A3"/>
    <w:rsid w:val="23201794"/>
    <w:rsid w:val="240E07A9"/>
    <w:rsid w:val="251D242F"/>
    <w:rsid w:val="257B5FDE"/>
    <w:rsid w:val="25C44658"/>
    <w:rsid w:val="29D46E34"/>
    <w:rsid w:val="2B2160A9"/>
    <w:rsid w:val="2B724B56"/>
    <w:rsid w:val="2C5509C3"/>
    <w:rsid w:val="2E6863BB"/>
    <w:rsid w:val="2E7F7CB6"/>
    <w:rsid w:val="30C84A8F"/>
    <w:rsid w:val="3522139B"/>
    <w:rsid w:val="35BA60CE"/>
    <w:rsid w:val="377A4D44"/>
    <w:rsid w:val="39C33C94"/>
    <w:rsid w:val="3D0535B4"/>
    <w:rsid w:val="40C33A32"/>
    <w:rsid w:val="47947ED7"/>
    <w:rsid w:val="483E65AE"/>
    <w:rsid w:val="4BFE6267"/>
    <w:rsid w:val="4C2A6435"/>
    <w:rsid w:val="536D782E"/>
    <w:rsid w:val="55591C47"/>
    <w:rsid w:val="564927D4"/>
    <w:rsid w:val="57D85FAF"/>
    <w:rsid w:val="5DEB0A4F"/>
    <w:rsid w:val="5F131BD1"/>
    <w:rsid w:val="709541F4"/>
    <w:rsid w:val="70FF1E55"/>
    <w:rsid w:val="74543DB5"/>
    <w:rsid w:val="77B27D81"/>
    <w:rsid w:val="7BD5403F"/>
    <w:rsid w:val="7BFF2E69"/>
    <w:rsid w:val="7E437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4"/>
    <w:uiPriority w:val="0"/>
    <w:pPr>
      <w:tabs>
        <w:tab w:val="center" w:pos="4153"/>
        <w:tab w:val="right" w:pos="8306"/>
      </w:tabs>
      <w:snapToGrid w:val="0"/>
      <w:jc w:val="left"/>
    </w:pPr>
    <w:rPr>
      <w:sz w:val="18"/>
      <w:szCs w:val="18"/>
    </w:rPr>
  </w:style>
  <w:style w:type="paragraph" w:styleId="3">
    <w:name w:val="header"/>
    <w:basedOn w:val="1"/>
    <w:link w:val="13"/>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0"/>
    <w:pPr>
      <w:widowControl/>
      <w:spacing w:before="100" w:beforeAutospacing="1" w:after="100" w:afterAutospacing="1"/>
      <w:jc w:val="left"/>
    </w:pPr>
    <w:rPr>
      <w:rFonts w:ascii="宋体" w:hAnsi="宋体" w:eastAsia="宋体" w:cs="宋体"/>
      <w:kern w:val="0"/>
      <w:sz w:val="24"/>
    </w:rPr>
  </w:style>
  <w:style w:type="paragraph" w:styleId="7">
    <w:name w:val="List Paragraph"/>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8">
    <w:name w:val="Heading #4|1"/>
    <w:basedOn w:val="1"/>
    <w:qFormat/>
    <w:uiPriority w:val="0"/>
    <w:pPr>
      <w:spacing w:after="70" w:line="414" w:lineRule="exact"/>
      <w:outlineLvl w:val="3"/>
    </w:pPr>
    <w:rPr>
      <w:rFonts w:ascii="宋体" w:hAnsi="宋体" w:eastAsia="宋体" w:cs="宋体"/>
      <w:sz w:val="28"/>
      <w:szCs w:val="28"/>
      <w:lang w:val="zh-TW" w:eastAsia="zh-TW" w:bidi="zh-TW"/>
    </w:rPr>
  </w:style>
  <w:style w:type="paragraph" w:customStyle="1" w:styleId="9">
    <w:name w:val="Body text|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0">
    <w:name w:val="Other|1"/>
    <w:basedOn w:val="1"/>
    <w:qFormat/>
    <w:uiPriority w:val="0"/>
    <w:pPr>
      <w:spacing w:after="300" w:line="454" w:lineRule="auto"/>
      <w:ind w:firstLine="400"/>
    </w:pPr>
    <w:rPr>
      <w:rFonts w:ascii="宋体" w:hAnsi="宋体" w:eastAsia="宋体" w:cs="宋体"/>
      <w:sz w:val="22"/>
      <w:szCs w:val="22"/>
      <w:lang w:val="zh-TW" w:eastAsia="zh-TW" w:bidi="zh-TW"/>
    </w:rPr>
  </w:style>
  <w:style w:type="paragraph" w:customStyle="1" w:styleId="11">
    <w:name w:val="Header or footer|2"/>
    <w:basedOn w:val="1"/>
    <w:qFormat/>
    <w:uiPriority w:val="0"/>
    <w:rPr>
      <w:sz w:val="20"/>
      <w:szCs w:val="20"/>
      <w:lang w:val="zh-TW" w:eastAsia="zh-TW" w:bidi="zh-TW"/>
    </w:rPr>
  </w:style>
  <w:style w:type="paragraph" w:customStyle="1" w:styleId="12">
    <w:name w:val="Body text|2"/>
    <w:basedOn w:val="1"/>
    <w:qFormat/>
    <w:uiPriority w:val="0"/>
    <w:pPr>
      <w:spacing w:line="736" w:lineRule="exact"/>
      <w:ind w:left="340" w:hanging="340"/>
    </w:pPr>
    <w:rPr>
      <w:rFonts w:ascii="宋体" w:hAnsi="宋体" w:eastAsia="宋体" w:cs="宋体"/>
      <w:sz w:val="28"/>
      <w:szCs w:val="28"/>
      <w:lang w:val="zh-TW" w:eastAsia="zh-TW" w:bidi="zh-TW"/>
    </w:rPr>
  </w:style>
  <w:style w:type="character" w:customStyle="1" w:styleId="13">
    <w:name w:val="页眉 Char"/>
    <w:basedOn w:val="6"/>
    <w:link w:val="3"/>
    <w:uiPriority w:val="0"/>
    <w:rPr>
      <w:rFonts w:asciiTheme="minorHAnsi" w:hAnsiTheme="minorHAnsi" w:eastAsiaTheme="minorEastAsia" w:cstheme="minorBidi"/>
      <w:kern w:val="2"/>
      <w:sz w:val="18"/>
      <w:szCs w:val="18"/>
    </w:rPr>
  </w:style>
  <w:style w:type="character" w:customStyle="1" w:styleId="14">
    <w:name w:val="页脚 Char"/>
    <w:basedOn w:val="6"/>
    <w:link w:val="2"/>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303</Words>
  <Characters>1728</Characters>
  <Lines>14</Lines>
  <Paragraphs>4</Paragraphs>
  <TotalTime>84</TotalTime>
  <ScaleCrop>false</ScaleCrop>
  <LinksUpToDate>false</LinksUpToDate>
  <CharactersWithSpaces>2027</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2021-12-06T10:04:28Z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62737996527D4D749885DEC555C236FB</vt:lpwstr>
  </property>
</Properties>
</file>