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清源创新实验室傅立叶变换红外光谱仪</w:t>
      </w:r>
    </w:p>
    <w:p>
      <w:pPr>
        <w:jc w:val="center"/>
        <w:rPr>
          <w:rFonts w:ascii="方正小标宋简体" w:hAnsi="方正小标宋简体" w:eastAsia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采购需求概况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一、项目概况（采购标的）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本项目为傅立叶变换红外光谱仪。主要用于表征反应过程中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分子的振动信息，通过不同的原位附件实现多种反应体系的原位监测，进行反应动力学研究。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二、技术和服务要求</w:t>
      </w:r>
    </w:p>
    <w:p>
      <w:pPr>
        <w:widowControl/>
        <w:snapToGrid w:val="0"/>
        <w:spacing w:line="276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  <w:t>(一)采购清单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972"/>
        <w:gridCol w:w="970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采购标的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单位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数量</w:t>
            </w:r>
          </w:p>
        </w:tc>
        <w:tc>
          <w:tcPr>
            <w:tcW w:w="231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傅立叶变换红外光谱仪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套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真空型红外主机1台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真空红外电化学附件1套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原位漫反射1套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可加热液体池1套</w:t>
            </w:r>
          </w:p>
        </w:tc>
      </w:tr>
    </w:tbl>
    <w:p>
      <w:pPr>
        <w:pStyle w:val="9"/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(二) 仪器总体要求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left="142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1.主要用途：实现多种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Hans" w:bidi="ar-SA"/>
        </w:rPr>
        <w:t>反应体系的原位监测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，进行反应动力学研究。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left="142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2.工作条件：连续工作8小时以上。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left="142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3.技术指标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红外主机光学腔和样品仓为真空系统密封设计，具备抽真空功能，最大真空度≤0.2mbar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光谱范围：≥8000 ~350 cm-1，KBr分束器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最大光谱扩展范围：≥28000 ~10 cm-1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分辨率：≤0.4cm-1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波数准确度 ：≤0.005cm-1@2000cm-1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信噪比：≥55000:1，(峰-峰值，1分钟测量，4cm-1)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干涉仪：采用立体角镜光学补偿技术，光路永久准直，无需动态调整。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光源：带有预准直的高能量中-远红外光源。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检测器：配置控温高灵敏度中红外DLaTGS检测器和液氮制冷MCT检测器，软件控制自动切换，直接输出数字信号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外光路输入接口≥2个，可扩展远红外汞灯光源和可见光氙灯光源。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外光路输出接口≥5个，可连接红外显微镜、高通量测试、偏振分析、热重分析仪、拉曼光谱仪、光致发光等各种大型附件。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A/D转换：24位、高速A/D转换。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网络化：红外主机与计算机之间通过“以太”网卡连接，无任何限制。红外主机在网络中“即插即用”；计算机可远程控制、采样及数据处理；实时数据共享。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红外控制软件，包括红外控制、谱图处理、数据转换、多组分定量等操作软件；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="286" w:leftChars="136"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实现腔体内部真空功能，系统结构为高强度材料构成，要求主机净重≥90 kg。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其它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left="360" w:firstLine="48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质保时间：真空型红外主机1年起，光源5年起，干涉仪10年起。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C43C5"/>
    <w:multiLevelType w:val="multilevel"/>
    <w:tmpl w:val="30CC43C5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DE3DFC"/>
    <w:multiLevelType w:val="multilevel"/>
    <w:tmpl w:val="61DE3DFC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B095A"/>
    <w:rsid w:val="00186D4A"/>
    <w:rsid w:val="00A84140"/>
    <w:rsid w:val="00BB5316"/>
    <w:rsid w:val="00C00EB8"/>
    <w:rsid w:val="00DE7DE7"/>
    <w:rsid w:val="00E30164"/>
    <w:rsid w:val="00EB7E60"/>
    <w:rsid w:val="0CF462EF"/>
    <w:rsid w:val="1D10278B"/>
    <w:rsid w:val="1E592455"/>
    <w:rsid w:val="23201794"/>
    <w:rsid w:val="2B724B56"/>
    <w:rsid w:val="2BD74058"/>
    <w:rsid w:val="30C84A8F"/>
    <w:rsid w:val="3522139B"/>
    <w:rsid w:val="40C33A32"/>
    <w:rsid w:val="47947ED7"/>
    <w:rsid w:val="483E65AE"/>
    <w:rsid w:val="4C2A6435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755</Characters>
  <Lines>6</Lines>
  <Paragraphs>1</Paragraphs>
  <TotalTime>19</TotalTime>
  <ScaleCrop>false</ScaleCrop>
  <LinksUpToDate>false</LinksUpToDate>
  <CharactersWithSpaces>886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2021-12-06T09:57:17Z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