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清源创新实验室傅立叶变换红外光谱仪</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需求调研情况</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傅立叶变换红外光谱仪适用于表征反应过程中分子的振动信息，通过不同的原位附件实现多种反应体系的原位监测，深入揭示反应过程与机理。石油化工催化实验室计划购置的傅立叶变换红外光谱仪，主要用于催化剂等功能化学品的研发，可服务于实验室各相关研究方向，推动各类功能材料的应用研究进程。</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本仪器基于中红外的实时原位系统，使用原位反应监测技术，跟踪反应关键物种的浓度变化，捕捉转瞬即逝的反应信息，用于推断机理、动力</w:t>
      </w:r>
      <w:r>
        <w:rPr>
          <w:rFonts w:ascii="Times New Roman" w:hAnsi="Times New Roman" w:eastAsia="仿宋_GB2312" w:cs="Times New Roman"/>
          <w:color w:val="000000"/>
          <w:sz w:val="32"/>
          <w:szCs w:val="32"/>
        </w:rPr>
        <w:t>学测量，揭示反应的主要历程，以实时优化反应条件与工艺；通过光谱仪腔体内部抽真空，最大真空度≤0.2 mbar，使得红外信号几乎不受大气中水汽和二氧化碳的干扰，实现极低的噪音值（信噪比≥55000:1），通过液氮制冷的高灵敏度MCT检测器</w:t>
      </w:r>
      <w:r>
        <w:rPr>
          <w:rFonts w:hint="eastAsia" w:ascii="仿宋_GB2312" w:hAnsi="仿宋_GB2312" w:eastAsia="仿宋_GB2312" w:cs="仿宋_GB2312"/>
          <w:color w:val="000000"/>
          <w:sz w:val="32"/>
          <w:szCs w:val="32"/>
        </w:rPr>
        <w:t>，探测极其微弱的反应信号，获取重要的实验数据。该设备的购置主要服务于清源实验室石油化工催化方向所承担国家省部及企业合作项目及各类人才的培养。</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三、国内外同类项目所用的仪器设备及优缺点对比</w:t>
      </w:r>
    </w:p>
    <w:tbl>
      <w:tblPr>
        <w:tblStyle w:val="5"/>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8"/>
        <w:gridCol w:w="1887"/>
        <w:gridCol w:w="2160"/>
        <w:gridCol w:w="2101"/>
        <w:gridCol w:w="2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1"/>
              </w:rPr>
            </w:pPr>
            <w:bookmarkStart w:id="0" w:name="_GoBack" w:colFirst="1" w:colLast="4"/>
            <w:r>
              <w:rPr>
                <w:rStyle w:val="16"/>
                <w:rFonts w:ascii="Times New Roman" w:hAnsi="Times New Roman" w:cs="Times New Roman"/>
                <w:b/>
                <w:bCs/>
                <w:spacing w:val="160"/>
                <w:kern w:val="0"/>
                <w:sz w:val="24"/>
                <w:szCs w:val="21"/>
              </w:rPr>
              <w:t>类</w:t>
            </w:r>
            <w:r>
              <w:rPr>
                <w:rStyle w:val="16"/>
                <w:rFonts w:ascii="Times New Roman" w:hAnsi="Times New Roman" w:cs="Times New Roman"/>
                <w:b/>
                <w:bCs/>
                <w:kern w:val="0"/>
                <w:sz w:val="24"/>
                <w:szCs w:val="21"/>
              </w:rPr>
              <w:t>别</w:t>
            </w: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Style w:val="16"/>
                <w:rFonts w:ascii="Times New Roman" w:hAnsi="Times New Roman" w:cs="Times New Roman"/>
                <w:b/>
                <w:bCs/>
                <w:kern w:val="0"/>
                <w:sz w:val="24"/>
                <w:szCs w:val="21"/>
              </w:rPr>
            </w:pPr>
            <w:r>
              <w:rPr>
                <w:rStyle w:val="16"/>
                <w:rFonts w:ascii="Times New Roman" w:hAnsi="Times New Roman" w:cs="Times New Roman"/>
                <w:b/>
                <w:bCs/>
                <w:spacing w:val="160"/>
                <w:kern w:val="0"/>
                <w:sz w:val="24"/>
                <w:szCs w:val="21"/>
              </w:rPr>
              <w:t>项</w:t>
            </w:r>
            <w:r>
              <w:rPr>
                <w:rStyle w:val="16"/>
                <w:rFonts w:ascii="Times New Roman" w:hAnsi="Times New Roman" w:cs="Times New Roman"/>
                <w:b/>
                <w:bCs/>
                <w:kern w:val="0"/>
                <w:sz w:val="24"/>
                <w:szCs w:val="21"/>
              </w:rPr>
              <w:t>目</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lang w:eastAsia="zh-Hans"/>
              </w:rPr>
            </w:pPr>
            <w:r>
              <w:rPr>
                <w:rFonts w:ascii="Times New Roman" w:hAnsi="Times New Roman" w:cs="Times New Roman"/>
                <w:kern w:val="0"/>
                <w:sz w:val="24"/>
                <w:szCs w:val="21"/>
                <w:lang w:eastAsia="zh-Hans"/>
              </w:rPr>
              <w:t>Bruker</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Style w:val="16"/>
                <w:rFonts w:ascii="Times New Roman" w:hAnsi="Times New Roman" w:cs="Times New Roman"/>
                <w:b/>
                <w:bCs/>
                <w:kern w:val="0"/>
                <w:sz w:val="24"/>
                <w:szCs w:val="21"/>
              </w:rPr>
            </w:pPr>
            <w:r>
              <w:rPr>
                <w:rFonts w:ascii="Times New Roman" w:hAnsi="Times New Roman" w:cs="Times New Roman"/>
                <w:kern w:val="0"/>
                <w:sz w:val="24"/>
                <w:szCs w:val="21"/>
                <w:lang w:eastAsia="zh-Hans"/>
              </w:rPr>
              <w:t>Vertex 70v</w:t>
            </w:r>
            <w:r>
              <w:rPr>
                <w:rFonts w:ascii="Times New Roman" w:hAnsi="Times New Roman" w:cs="Times New Roman"/>
                <w:kern w:val="0"/>
                <w:sz w:val="24"/>
                <w:szCs w:val="21"/>
              </w:rPr>
              <w:t>型号</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Thermo</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Style w:val="16"/>
                <w:rFonts w:ascii="Times New Roman" w:hAnsi="Times New Roman" w:cs="Times New Roman"/>
                <w:b/>
                <w:bCs/>
                <w:kern w:val="0"/>
                <w:sz w:val="24"/>
                <w:szCs w:val="21"/>
              </w:rPr>
            </w:pPr>
            <w:r>
              <w:rPr>
                <w:rFonts w:ascii="Times New Roman" w:hAnsi="Times New Roman" w:cs="Times New Roman"/>
                <w:kern w:val="0"/>
                <w:sz w:val="24"/>
                <w:szCs w:val="21"/>
                <w:lang w:eastAsia="zh-Hans"/>
              </w:rPr>
              <w:t>iS</w:t>
            </w:r>
            <w:r>
              <w:rPr>
                <w:rFonts w:ascii="Times New Roman" w:hAnsi="Times New Roman" w:cs="Times New Roman"/>
                <w:kern w:val="0"/>
                <w:sz w:val="24"/>
                <w:szCs w:val="21"/>
              </w:rPr>
              <w:t xml:space="preserve"> 50R</w:t>
            </w:r>
            <w:r>
              <w:rPr>
                <w:rFonts w:ascii="Times New Roman" w:hAnsi="Times New Roman" w:cs="Times New Roman"/>
                <w:kern w:val="0"/>
                <w:sz w:val="24"/>
                <w:szCs w:val="21"/>
                <w:lang w:eastAsia="zh-Hans"/>
              </w:rPr>
              <w:t>型号</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lang w:eastAsia="zh-Hans"/>
              </w:rPr>
            </w:pPr>
            <w:r>
              <w:rPr>
                <w:rFonts w:ascii="Times New Roman" w:hAnsi="Times New Roman" w:cs="Times New Roman"/>
                <w:kern w:val="0"/>
                <w:sz w:val="24"/>
                <w:szCs w:val="21"/>
                <w:lang w:eastAsia="zh-Hans"/>
              </w:rPr>
              <w:t>Jasco</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Style w:val="16"/>
                <w:rFonts w:ascii="Times New Roman" w:hAnsi="Times New Roman" w:cs="Times New Roman"/>
                <w:b/>
                <w:bCs/>
                <w:kern w:val="0"/>
                <w:sz w:val="24"/>
                <w:szCs w:val="21"/>
              </w:rPr>
            </w:pPr>
            <w:r>
              <w:rPr>
                <w:rFonts w:ascii="Times New Roman" w:hAnsi="Times New Roman" w:cs="Times New Roman"/>
                <w:kern w:val="0"/>
                <w:sz w:val="24"/>
                <w:szCs w:val="21"/>
                <w:lang w:eastAsia="zh-Hans"/>
              </w:rPr>
              <w:t>FTIR-6800型号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r>
              <w:rPr>
                <w:rStyle w:val="16"/>
                <w:rFonts w:ascii="Times New Roman" w:hAnsi="Times New Roman" w:cs="Times New Roman"/>
                <w:b/>
                <w:bCs/>
                <w:kern w:val="0"/>
                <w:sz w:val="24"/>
                <w:szCs w:val="21"/>
              </w:rPr>
              <w:t>主要性能指标</w:t>
            </w: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光谱范围</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 xml:space="preserve">350-8000 </w:t>
            </w:r>
            <w:r>
              <w:rPr>
                <w:rFonts w:ascii="Times New Roman" w:hAnsi="Times New Roman" w:cs="Times New Roman"/>
                <w:kern w:val="0"/>
                <w:sz w:val="24"/>
                <w:szCs w:val="21"/>
                <w:lang w:eastAsia="zh-Hans"/>
              </w:rPr>
              <w:t>cm</w:t>
            </w:r>
            <w:r>
              <w:rPr>
                <w:rFonts w:ascii="Times New Roman" w:hAnsi="Times New Roman" w:cs="Times New Roman"/>
                <w:kern w:val="0"/>
                <w:sz w:val="24"/>
                <w:szCs w:val="21"/>
                <w:vertAlign w:val="superscript"/>
                <w:lang w:eastAsia="zh-Hans"/>
              </w:rPr>
              <w:t>-1</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 xml:space="preserve">350-7800 </w:t>
            </w:r>
            <w:r>
              <w:rPr>
                <w:rFonts w:ascii="Times New Roman" w:hAnsi="Times New Roman" w:cs="Times New Roman"/>
                <w:kern w:val="0"/>
                <w:sz w:val="24"/>
                <w:szCs w:val="21"/>
                <w:lang w:eastAsia="zh-Hans"/>
              </w:rPr>
              <w:t>cm</w:t>
            </w:r>
            <w:r>
              <w:rPr>
                <w:rFonts w:ascii="Times New Roman" w:hAnsi="Times New Roman" w:cs="Times New Roman"/>
                <w:kern w:val="0"/>
                <w:sz w:val="24"/>
                <w:szCs w:val="21"/>
                <w:vertAlign w:val="superscript"/>
                <w:lang w:eastAsia="zh-Hans"/>
              </w:rPr>
              <w:t>-1</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 xml:space="preserve">350-7800 </w:t>
            </w:r>
            <w:r>
              <w:rPr>
                <w:rFonts w:ascii="Times New Roman" w:hAnsi="Times New Roman" w:cs="Times New Roman"/>
                <w:kern w:val="0"/>
                <w:sz w:val="24"/>
                <w:szCs w:val="21"/>
                <w:lang w:eastAsia="zh-Hans"/>
              </w:rPr>
              <w:t>cm</w:t>
            </w:r>
            <w:r>
              <w:rPr>
                <w:rFonts w:ascii="Times New Roman" w:hAnsi="Times New Roman" w:cs="Times New Roman"/>
                <w:kern w:val="0"/>
                <w:sz w:val="24"/>
                <w:szCs w:val="21"/>
                <w:vertAlign w:val="superscript"/>
                <w:lang w:eastAsia="zh-Han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可扩展最大范围</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 xml:space="preserve">10-28000 </w:t>
            </w:r>
            <w:r>
              <w:rPr>
                <w:rFonts w:ascii="Times New Roman" w:hAnsi="Times New Roman" w:cs="Times New Roman"/>
                <w:kern w:val="0"/>
                <w:sz w:val="24"/>
                <w:szCs w:val="21"/>
                <w:lang w:eastAsia="zh-Hans"/>
              </w:rPr>
              <w:t>cm</w:t>
            </w:r>
            <w:r>
              <w:rPr>
                <w:rFonts w:ascii="Times New Roman" w:hAnsi="Times New Roman" w:cs="Times New Roman"/>
                <w:kern w:val="0"/>
                <w:sz w:val="24"/>
                <w:szCs w:val="21"/>
                <w:vertAlign w:val="superscript"/>
                <w:lang w:eastAsia="zh-Hans"/>
              </w:rPr>
              <w:t>-1</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 xml:space="preserve">20-27000 </w:t>
            </w:r>
            <w:r>
              <w:rPr>
                <w:rFonts w:ascii="Times New Roman" w:hAnsi="Times New Roman" w:cs="Times New Roman"/>
                <w:kern w:val="0"/>
                <w:sz w:val="24"/>
                <w:szCs w:val="21"/>
                <w:lang w:eastAsia="zh-Hans"/>
              </w:rPr>
              <w:t>cm</w:t>
            </w:r>
            <w:r>
              <w:rPr>
                <w:rFonts w:ascii="Times New Roman" w:hAnsi="Times New Roman" w:cs="Times New Roman"/>
                <w:kern w:val="0"/>
                <w:sz w:val="24"/>
                <w:szCs w:val="21"/>
                <w:vertAlign w:val="superscript"/>
                <w:lang w:eastAsia="zh-Hans"/>
              </w:rPr>
              <w:t>-1</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 xml:space="preserve">10-25000 </w:t>
            </w:r>
            <w:r>
              <w:rPr>
                <w:rFonts w:ascii="Times New Roman" w:hAnsi="Times New Roman" w:cs="Times New Roman"/>
                <w:kern w:val="0"/>
                <w:sz w:val="24"/>
                <w:szCs w:val="21"/>
                <w:lang w:eastAsia="zh-Hans"/>
              </w:rPr>
              <w:t>cm</w:t>
            </w:r>
            <w:r>
              <w:rPr>
                <w:rFonts w:ascii="Times New Roman" w:hAnsi="Times New Roman" w:cs="Times New Roman"/>
                <w:kern w:val="0"/>
                <w:sz w:val="24"/>
                <w:szCs w:val="21"/>
                <w:vertAlign w:val="superscript"/>
                <w:lang w:eastAsia="zh-Han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信噪比</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55000</w:t>
            </w:r>
            <w:r>
              <w:rPr>
                <w:rFonts w:ascii="Times New Roman" w:hAnsi="Times New Roman" w:cs="Times New Roman"/>
                <w:kern w:val="0"/>
                <w:sz w:val="24"/>
                <w:szCs w:val="21"/>
                <w:lang w:eastAsia="zh-Hans"/>
              </w:rPr>
              <w:t>：1</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55000</w:t>
            </w:r>
            <w:r>
              <w:rPr>
                <w:rFonts w:ascii="Times New Roman" w:hAnsi="Times New Roman" w:cs="Times New Roman"/>
                <w:kern w:val="0"/>
                <w:sz w:val="24"/>
                <w:szCs w:val="21"/>
                <w:lang w:eastAsia="zh-Hans"/>
              </w:rPr>
              <w:t>：1</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55000</w:t>
            </w:r>
            <w:r>
              <w:rPr>
                <w:rFonts w:ascii="Times New Roman" w:hAnsi="Times New Roman" w:cs="Times New Roman"/>
                <w:kern w:val="0"/>
                <w:sz w:val="24"/>
                <w:szCs w:val="21"/>
                <w:lang w:eastAsia="zh-Han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波数准确度</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≤0.005 cm</w:t>
            </w:r>
            <w:r>
              <w:rPr>
                <w:rFonts w:ascii="Times New Roman" w:hAnsi="Times New Roman" w:cs="Times New Roman"/>
                <w:kern w:val="0"/>
                <w:sz w:val="24"/>
                <w:szCs w:val="21"/>
                <w:vertAlign w:val="superscript"/>
                <w:lang w:eastAsia="zh-Hans"/>
              </w:rPr>
              <w:t>-1</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≤0.05 cm</w:t>
            </w:r>
            <w:r>
              <w:rPr>
                <w:rFonts w:ascii="Times New Roman" w:hAnsi="Times New Roman" w:cs="Times New Roman"/>
                <w:kern w:val="0"/>
                <w:sz w:val="24"/>
                <w:szCs w:val="21"/>
                <w:vertAlign w:val="superscript"/>
                <w:lang w:eastAsia="zh-Hans"/>
              </w:rPr>
              <w:t>-1</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≤0.05 cm</w:t>
            </w:r>
            <w:r>
              <w:rPr>
                <w:rFonts w:ascii="Times New Roman" w:hAnsi="Times New Roman" w:cs="Times New Roman"/>
                <w:kern w:val="0"/>
                <w:sz w:val="24"/>
                <w:szCs w:val="21"/>
                <w:vertAlign w:val="superscript"/>
                <w:lang w:eastAsia="zh-Han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干涉仪</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立体角镜，光学补偿</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被动调整，机械补偿</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立体角镜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入射角</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30</w:t>
            </w:r>
            <w:r>
              <w:rPr>
                <w:rFonts w:ascii="Times New Roman" w:hAnsi="Times New Roman" w:eastAsia="微软雅黑" w:cs="Times New Roman"/>
                <w:kern w:val="0"/>
                <w:sz w:val="24"/>
                <w:szCs w:val="21"/>
              </w:rPr>
              <w:t>˚</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45</w:t>
            </w:r>
            <w:r>
              <w:rPr>
                <w:rFonts w:ascii="Times New Roman" w:hAnsi="Times New Roman" w:eastAsia="微软雅黑" w:cs="Times New Roman"/>
                <w:kern w:val="0"/>
                <w:sz w:val="24"/>
                <w:szCs w:val="21"/>
              </w:rPr>
              <w:t>˚</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28</w:t>
            </w:r>
            <w:r>
              <w:rPr>
                <w:rFonts w:ascii="Times New Roman" w:hAnsi="Times New Roman" w:eastAsia="微软雅黑" w:cs="Times New Roman"/>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入光口</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2</w:t>
            </w:r>
            <w:r>
              <w:rPr>
                <w:rFonts w:ascii="Times New Roman" w:hAnsi="Times New Roman" w:cs="Times New Roman"/>
                <w:kern w:val="0"/>
                <w:sz w:val="24"/>
                <w:szCs w:val="21"/>
                <w:lang w:eastAsia="zh-Hans"/>
              </w:rPr>
              <w:t>个</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1</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1</w:t>
            </w:r>
            <w:r>
              <w:rPr>
                <w:rFonts w:ascii="Times New Roman" w:hAnsi="Times New Roman" w:cs="Times New Roman"/>
                <w:kern w:val="0"/>
                <w:sz w:val="24"/>
                <w:szCs w:val="21"/>
                <w:lang w:eastAsia="zh-Hans"/>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793"/>
              </w:tabs>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出光口</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5</w:t>
            </w:r>
            <w:r>
              <w:rPr>
                <w:rFonts w:ascii="Times New Roman" w:hAnsi="Times New Roman" w:cs="Times New Roman"/>
                <w:kern w:val="0"/>
                <w:sz w:val="24"/>
                <w:szCs w:val="21"/>
                <w:lang w:eastAsia="zh-Hans"/>
              </w:rPr>
              <w:t>个</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3</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1</w:t>
            </w:r>
            <w:r>
              <w:rPr>
                <w:rFonts w:ascii="Times New Roman" w:hAnsi="Times New Roman" w:cs="Times New Roman"/>
                <w:kern w:val="0"/>
                <w:sz w:val="24"/>
                <w:szCs w:val="21"/>
                <w:lang w:eastAsia="zh-Hans"/>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数据连接</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网口</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USB</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USB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真空功能</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有</w:t>
            </w:r>
            <w:r>
              <w:rPr>
                <w:rFonts w:hint="eastAsia" w:ascii="Times New Roman" w:hAnsi="Times New Roman" w:cs="Times New Roman"/>
                <w:kern w:val="0"/>
                <w:sz w:val="24"/>
                <w:szCs w:val="21"/>
                <w:lang w:eastAsia="zh-Hans"/>
              </w:rPr>
              <w:t xml:space="preserve"> </w:t>
            </w:r>
            <w:r>
              <w:rPr>
                <w:rFonts w:hint="eastAsia" w:ascii="Times New Roman" w:hAnsi="Times New Roman" w:cs="Times New Roman"/>
                <w:kern w:val="0"/>
                <w:sz w:val="24"/>
                <w:szCs w:val="21"/>
              </w:rPr>
              <w:t>(</w:t>
            </w:r>
            <w:r>
              <w:rPr>
                <w:rFonts w:ascii="Times New Roman" w:hAnsi="Times New Roman" w:cs="Times New Roman"/>
                <w:color w:val="000000"/>
                <w:sz w:val="24"/>
                <w:szCs w:val="32"/>
              </w:rPr>
              <w:t>最大真空度≤0.2 mbar</w:t>
            </w:r>
            <w:r>
              <w:rPr>
                <w:rFonts w:ascii="Times New Roman" w:hAnsi="Times New Roman" w:cs="Times New Roman"/>
                <w:kern w:val="0"/>
                <w:sz w:val="24"/>
                <w:szCs w:val="21"/>
              </w:rPr>
              <w:t>)</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无</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可选配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lang w:eastAsia="zh-Hans"/>
              </w:rPr>
            </w:pPr>
            <w:r>
              <w:rPr>
                <w:rFonts w:ascii="Times New Roman" w:hAnsi="Times New Roman" w:cs="Times New Roman"/>
                <w:kern w:val="0"/>
                <w:sz w:val="24"/>
                <w:szCs w:val="21"/>
                <w:lang w:eastAsia="zh-Hans"/>
              </w:rPr>
              <w:t>升级扩展</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lang w:eastAsia="zh-Hans"/>
              </w:rPr>
            </w:pPr>
            <w:r>
              <w:rPr>
                <w:rFonts w:ascii="Times New Roman" w:hAnsi="Times New Roman" w:cs="Times New Roman"/>
                <w:kern w:val="0"/>
                <w:sz w:val="24"/>
                <w:szCs w:val="21"/>
                <w:lang w:eastAsia="zh-Hans"/>
              </w:rPr>
              <w:t>可扩展额外标准样品仓，实现第二个原位附件监测</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无此功能</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lang w:eastAsia="zh-Hans"/>
              </w:rPr>
            </w:pPr>
            <w:r>
              <w:rPr>
                <w:rFonts w:ascii="Times New Roman" w:hAnsi="Times New Roman" w:cs="Times New Roman"/>
                <w:kern w:val="0"/>
                <w:sz w:val="24"/>
                <w:szCs w:val="21"/>
                <w:lang w:eastAsia="zh-Hans"/>
              </w:rPr>
              <w:t>无此功能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1"/>
              </w:rPr>
            </w:pPr>
            <w:r>
              <w:rPr>
                <w:rStyle w:val="16"/>
                <w:rFonts w:ascii="Times New Roman" w:hAnsi="Times New Roman" w:cs="Times New Roman"/>
                <w:b/>
                <w:bCs/>
                <w:kern w:val="0"/>
                <w:sz w:val="24"/>
                <w:szCs w:val="21"/>
              </w:rPr>
              <w:t>市场情况和价格比较</w:t>
            </w: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市场占有率</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常规产品较高；高端研究产品几乎垄断</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较高</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国内几乎没有用户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8"/>
              </w:rPr>
            </w:pP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价格</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135</w:t>
            </w:r>
            <w:r>
              <w:rPr>
                <w:rFonts w:ascii="Times New Roman" w:hAnsi="Times New Roman" w:cs="Times New Roman"/>
                <w:kern w:val="0"/>
                <w:sz w:val="24"/>
                <w:szCs w:val="21"/>
              </w:rPr>
              <w:t>万</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140.5万</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145.5万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Times New Roman" w:hAnsi="Times New Roman" w:cs="Times New Roman"/>
                <w:b/>
                <w:bCs/>
                <w:kern w:val="0"/>
                <w:sz w:val="24"/>
                <w:szCs w:val="21"/>
              </w:rPr>
            </w:pPr>
            <w:r>
              <w:rPr>
                <w:rStyle w:val="16"/>
                <w:rFonts w:ascii="Times New Roman" w:hAnsi="Times New Roman" w:cs="Times New Roman"/>
                <w:b/>
                <w:bCs/>
                <w:kern w:val="0"/>
                <w:sz w:val="24"/>
                <w:szCs w:val="21"/>
              </w:rPr>
              <w:t>售后</w:t>
            </w:r>
          </w:p>
          <w:p>
            <w:pPr>
              <w:jc w:val="center"/>
              <w:rPr>
                <w:rStyle w:val="16"/>
                <w:rFonts w:ascii="Times New Roman" w:hAnsi="Times New Roman" w:cs="Times New Roman"/>
                <w:b/>
                <w:bCs/>
                <w:kern w:val="0"/>
                <w:sz w:val="24"/>
                <w:szCs w:val="28"/>
              </w:rPr>
            </w:pPr>
            <w:r>
              <w:rPr>
                <w:rStyle w:val="16"/>
                <w:rFonts w:ascii="Times New Roman" w:hAnsi="Times New Roman" w:cs="Times New Roman"/>
                <w:b/>
                <w:bCs/>
                <w:kern w:val="0"/>
                <w:sz w:val="24"/>
                <w:szCs w:val="21"/>
              </w:rPr>
              <w:t>服务</w:t>
            </w:r>
          </w:p>
        </w:tc>
        <w:tc>
          <w:tcPr>
            <w:tcW w:w="18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cs="Times New Roman"/>
                <w:kern w:val="0"/>
                <w:sz w:val="24"/>
                <w:szCs w:val="21"/>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rPr>
              <w:t>本省有</w:t>
            </w:r>
            <w:r>
              <w:rPr>
                <w:rFonts w:ascii="Times New Roman" w:hAnsi="Times New Roman" w:cs="Times New Roman"/>
                <w:kern w:val="0"/>
                <w:sz w:val="24"/>
                <w:szCs w:val="21"/>
                <w:lang w:eastAsia="zh-Hans"/>
              </w:rPr>
              <w:t>授权维护</w:t>
            </w:r>
            <w:r>
              <w:rPr>
                <w:rFonts w:ascii="Times New Roman" w:hAnsi="Times New Roman" w:cs="Times New Roman"/>
                <w:kern w:val="0"/>
                <w:sz w:val="24"/>
                <w:szCs w:val="21"/>
              </w:rPr>
              <w:t>工程师1名，</w:t>
            </w:r>
            <w:r>
              <w:rPr>
                <w:rFonts w:ascii="Times New Roman" w:hAnsi="Times New Roman" w:cs="Times New Roman"/>
                <w:kern w:val="0"/>
                <w:sz w:val="24"/>
                <w:szCs w:val="21"/>
                <w:lang w:eastAsia="zh-Hans"/>
              </w:rPr>
              <w:t>总部具备多个应用工程师支持前沿实验应用</w:t>
            </w:r>
          </w:p>
        </w:tc>
        <w:tc>
          <w:tcPr>
            <w:tcW w:w="2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本地无授权代理和工程师，需要从上海过来</w:t>
            </w:r>
          </w:p>
        </w:tc>
        <w:tc>
          <w:tcPr>
            <w:tcW w:w="2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cs="Times New Roman"/>
                <w:kern w:val="0"/>
                <w:sz w:val="24"/>
                <w:szCs w:val="21"/>
              </w:rPr>
            </w:pPr>
            <w:r>
              <w:rPr>
                <w:rFonts w:ascii="Times New Roman" w:hAnsi="Times New Roman" w:cs="Times New Roman"/>
                <w:kern w:val="0"/>
                <w:sz w:val="24"/>
                <w:szCs w:val="21"/>
                <w:lang w:eastAsia="zh-Hans"/>
              </w:rPr>
              <w:t>国内无专门售后工程师</w:t>
            </w:r>
          </w:p>
        </w:tc>
      </w:tr>
      <w:bookmarkEnd w:id="0"/>
    </w:tbl>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四、条件准备情况</w:t>
      </w:r>
    </w:p>
    <w:p>
      <w:pPr>
        <w:snapToGrid w:val="0"/>
        <w:spacing w:line="54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实验室具备电（220 V单相电源）、实验平台（尺寸大于150 x 100 cm, 可以承110 Kg以上的设备）等安装条件。</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该设备使用过程无放射物产生，实验过程可能产生少量废液，可通过实验室正常流程处理，不会产生安全性问题。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2"/>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2"/>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D44C7"/>
    <w:rsid w:val="001E03F7"/>
    <w:rsid w:val="003701E7"/>
    <w:rsid w:val="003A29B9"/>
    <w:rsid w:val="00412ACE"/>
    <w:rsid w:val="005C4564"/>
    <w:rsid w:val="007028FC"/>
    <w:rsid w:val="00C6725C"/>
    <w:rsid w:val="00EB7E60"/>
    <w:rsid w:val="01EA0E83"/>
    <w:rsid w:val="0301396B"/>
    <w:rsid w:val="05154E61"/>
    <w:rsid w:val="0ACD3951"/>
    <w:rsid w:val="0C2107A9"/>
    <w:rsid w:val="0CF462EF"/>
    <w:rsid w:val="108F4BD1"/>
    <w:rsid w:val="11C95F9C"/>
    <w:rsid w:val="1209283C"/>
    <w:rsid w:val="130628D8"/>
    <w:rsid w:val="1DFF065A"/>
    <w:rsid w:val="1E592455"/>
    <w:rsid w:val="1FBB33A3"/>
    <w:rsid w:val="2202351D"/>
    <w:rsid w:val="23201794"/>
    <w:rsid w:val="240E07A9"/>
    <w:rsid w:val="251D242F"/>
    <w:rsid w:val="257B5FDE"/>
    <w:rsid w:val="25C44658"/>
    <w:rsid w:val="29D46E34"/>
    <w:rsid w:val="2B2160A9"/>
    <w:rsid w:val="2B724B56"/>
    <w:rsid w:val="2C5509C3"/>
    <w:rsid w:val="2E6863BB"/>
    <w:rsid w:val="2E7F7CB6"/>
    <w:rsid w:val="30C84A8F"/>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6">
    <w:name w:val="Table Grid"/>
    <w:basedOn w:val="5"/>
    <w:uiPriority w:val="0"/>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10">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2">
    <w:name w:val="Header or footer|2"/>
    <w:basedOn w:val="1"/>
    <w:qFormat/>
    <w:uiPriority w:val="0"/>
    <w:rPr>
      <w:sz w:val="20"/>
      <w:szCs w:val="20"/>
      <w:lang w:val="zh-TW" w:eastAsia="zh-TW" w:bidi="zh-TW"/>
    </w:rPr>
  </w:style>
  <w:style w:type="paragraph" w:customStyle="1" w:styleId="13">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4">
    <w:name w:val="页眉 字符"/>
    <w:basedOn w:val="7"/>
    <w:link w:val="3"/>
    <w:qFormat/>
    <w:uiPriority w:val="0"/>
    <w:rPr>
      <w:rFonts w:asciiTheme="minorHAnsi" w:hAnsiTheme="minorHAnsi" w:eastAsiaTheme="minorEastAsia" w:cstheme="minorBidi"/>
      <w:kern w:val="2"/>
      <w:sz w:val="18"/>
      <w:szCs w:val="18"/>
    </w:rPr>
  </w:style>
  <w:style w:type="character" w:customStyle="1" w:styleId="15">
    <w:name w:val="页脚 字符"/>
    <w:basedOn w:val="7"/>
    <w:link w:val="2"/>
    <w:qFormat/>
    <w:uiPriority w:val="0"/>
    <w:rPr>
      <w:rFonts w:asciiTheme="minorHAnsi" w:hAnsiTheme="minorHAnsi" w:eastAsiaTheme="minorEastAsia" w:cstheme="minorBidi"/>
      <w:kern w:val="2"/>
      <w:sz w:val="18"/>
      <w:szCs w:val="18"/>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173</Words>
  <Characters>989</Characters>
  <Lines>8</Lines>
  <Paragraphs>2</Paragraphs>
  <TotalTime>115</TotalTime>
  <ScaleCrop>false</ScaleCrop>
  <LinksUpToDate>false</LinksUpToDate>
  <CharactersWithSpaces>1160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2021-12-06T09:59:24Z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