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color w:val="393939"/>
          <w:sz w:val="19"/>
          <w:szCs w:val="19"/>
          <w:shd w:val="clear" w:color="auto" w:fill="FFFFFF"/>
        </w:rPr>
      </w:pPr>
      <w:r>
        <w:rPr>
          <w:rFonts w:hint="eastAsia" w:ascii="方正小标宋简体" w:hAnsi="方正小标宋简体" w:eastAsia="方正小标宋简体" w:cs="方正小标宋简体"/>
          <w:b/>
          <w:bCs/>
          <w:color w:val="000000"/>
          <w:sz w:val="36"/>
          <w:szCs w:val="36"/>
        </w:rPr>
        <w:t>清源创新实验室多通道电化</w:t>
      </w:r>
      <w:bookmarkStart w:id="0" w:name="_GoBack"/>
      <w:bookmarkEnd w:id="0"/>
      <w:r>
        <w:rPr>
          <w:rFonts w:hint="eastAsia" w:ascii="方正小标宋简体" w:hAnsi="方正小标宋简体" w:eastAsia="方正小标宋简体" w:cs="方正小标宋简体"/>
          <w:b/>
          <w:bCs/>
          <w:color w:val="000000"/>
          <w:sz w:val="36"/>
          <w:szCs w:val="36"/>
        </w:rPr>
        <w:t>学工作站采购需求概况</w:t>
      </w:r>
    </w:p>
    <w:p>
      <w:pPr>
        <w:widowControl/>
        <w:snapToGrid w:val="0"/>
        <w:spacing w:line="276" w:lineRule="auto"/>
        <w:ind w:firstLine="480" w:firstLineChars="200"/>
        <w:jc w:val="left"/>
        <w:rPr>
          <w:rFonts w:hint="eastAsia" w:ascii="黑体" w:hAnsi="黑体" w:eastAsia="黑体" w:cs="黑体"/>
          <w:kern w:val="0"/>
          <w:sz w:val="24"/>
        </w:rPr>
      </w:pPr>
      <w:r>
        <w:rPr>
          <w:rFonts w:hint="eastAsia" w:ascii="黑体" w:hAnsi="黑体" w:eastAsia="黑体" w:cs="黑体"/>
          <w:kern w:val="0"/>
          <w:sz w:val="24"/>
        </w:rPr>
        <w:t>一、项目概况（采购标的）</w:t>
      </w:r>
    </w:p>
    <w:p>
      <w:pPr>
        <w:widowControl/>
        <w:snapToGrid w:val="0"/>
        <w:spacing w:line="276"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本项目为多通道电化学工作站采购。</w:t>
      </w:r>
      <w:r>
        <w:rPr>
          <w:rFonts w:hint="eastAsia" w:ascii="仿宋_GB2312" w:hAnsi="仿宋_GB2312" w:eastAsia="仿宋_GB2312" w:cs="仿宋_GB2312"/>
          <w:color w:val="000000"/>
          <w:sz w:val="28"/>
          <w:szCs w:val="28"/>
        </w:rPr>
        <w:t>主要用于主要用于锂离子/钠离子电池，固态电解质及固态电池，电催化，燃料电池，超级电容器等各类新能源材料做全面的电性能分析研究，多通道电化学工作站能够极大的提高研究效率。</w:t>
      </w:r>
    </w:p>
    <w:p>
      <w:pPr>
        <w:widowControl/>
        <w:snapToGrid w:val="0"/>
        <w:spacing w:line="276" w:lineRule="auto"/>
        <w:ind w:firstLine="480" w:firstLineChars="200"/>
        <w:jc w:val="left"/>
        <w:rPr>
          <w:rFonts w:hint="eastAsia" w:ascii="黑体" w:hAnsi="黑体" w:eastAsia="黑体" w:cs="黑体"/>
          <w:kern w:val="0"/>
          <w:sz w:val="24"/>
        </w:rPr>
      </w:pPr>
      <w:r>
        <w:rPr>
          <w:rFonts w:hint="eastAsia" w:ascii="黑体" w:hAnsi="黑体" w:eastAsia="黑体" w:cs="黑体"/>
          <w:kern w:val="0"/>
          <w:sz w:val="24"/>
        </w:rPr>
        <w:t>二、技术和服务要求</w:t>
      </w:r>
    </w:p>
    <w:p>
      <w:pPr>
        <w:widowControl/>
        <w:snapToGrid w:val="0"/>
        <w:spacing w:line="276"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(一)采购清单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735"/>
        <w:gridCol w:w="1004"/>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7" w:type="pct"/>
            <w:vAlign w:val="center"/>
          </w:tcPr>
          <w:p>
            <w:pPr>
              <w:snapToGrid w:val="0"/>
              <w:spacing w:line="276" w:lineRule="auto"/>
              <w:jc w:val="center"/>
              <w:rPr>
                <w:rFonts w:hint="eastAsia" w:ascii="黑体" w:hAnsi="黑体" w:eastAsia="黑体" w:cs="黑体"/>
                <w:b w:val="0"/>
                <w:bCs/>
                <w:sz w:val="24"/>
              </w:rPr>
            </w:pPr>
            <w:r>
              <w:rPr>
                <w:rFonts w:hint="eastAsia" w:ascii="黑体" w:hAnsi="黑体" w:eastAsia="黑体" w:cs="黑体"/>
                <w:b w:val="0"/>
                <w:bCs/>
                <w:sz w:val="24"/>
              </w:rPr>
              <w:t>采购标的</w:t>
            </w:r>
          </w:p>
        </w:tc>
        <w:tc>
          <w:tcPr>
            <w:tcW w:w="431" w:type="pct"/>
            <w:vAlign w:val="center"/>
          </w:tcPr>
          <w:p>
            <w:pPr>
              <w:snapToGrid w:val="0"/>
              <w:spacing w:line="276" w:lineRule="auto"/>
              <w:jc w:val="center"/>
              <w:rPr>
                <w:rFonts w:hint="eastAsia" w:ascii="黑体" w:hAnsi="黑体" w:eastAsia="黑体" w:cs="黑体"/>
                <w:b w:val="0"/>
                <w:bCs/>
                <w:sz w:val="24"/>
              </w:rPr>
            </w:pPr>
            <w:r>
              <w:rPr>
                <w:rFonts w:hint="eastAsia" w:ascii="黑体" w:hAnsi="黑体" w:eastAsia="黑体" w:cs="黑体"/>
                <w:b w:val="0"/>
                <w:bCs/>
                <w:sz w:val="24"/>
              </w:rPr>
              <w:t>单位</w:t>
            </w:r>
          </w:p>
        </w:tc>
        <w:tc>
          <w:tcPr>
            <w:tcW w:w="589" w:type="pct"/>
            <w:vAlign w:val="center"/>
          </w:tcPr>
          <w:p>
            <w:pPr>
              <w:snapToGrid w:val="0"/>
              <w:spacing w:line="276" w:lineRule="auto"/>
              <w:jc w:val="center"/>
              <w:rPr>
                <w:rFonts w:hint="eastAsia" w:ascii="黑体" w:hAnsi="黑体" w:eastAsia="黑体" w:cs="黑体"/>
                <w:b w:val="0"/>
                <w:bCs/>
                <w:sz w:val="24"/>
              </w:rPr>
            </w:pPr>
            <w:r>
              <w:rPr>
                <w:rFonts w:hint="eastAsia" w:ascii="黑体" w:hAnsi="黑体" w:eastAsia="黑体" w:cs="黑体"/>
                <w:b w:val="0"/>
                <w:bCs/>
                <w:sz w:val="24"/>
              </w:rPr>
              <w:t>数量</w:t>
            </w:r>
          </w:p>
        </w:tc>
        <w:tc>
          <w:tcPr>
            <w:tcW w:w="2521" w:type="pct"/>
            <w:vAlign w:val="center"/>
          </w:tcPr>
          <w:p>
            <w:pPr>
              <w:snapToGrid w:val="0"/>
              <w:spacing w:line="276" w:lineRule="auto"/>
              <w:jc w:val="center"/>
              <w:rPr>
                <w:rFonts w:hint="eastAsia" w:ascii="黑体" w:hAnsi="黑体" w:eastAsia="黑体" w:cs="黑体"/>
                <w:b w:val="0"/>
                <w:bCs/>
                <w:sz w:val="24"/>
              </w:rPr>
            </w:pPr>
            <w:r>
              <w:rPr>
                <w:rFonts w:hint="eastAsia" w:ascii="黑体" w:hAnsi="黑体" w:eastAsia="黑体" w:cs="黑体"/>
                <w:b w:val="0"/>
                <w:bCs/>
                <w:sz w:val="24"/>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7" w:type="pct"/>
            <w:vAlign w:val="center"/>
          </w:tcPr>
          <w:p>
            <w:pPr>
              <w:snapToGrid w:val="0"/>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多通道电化学工作站</w:t>
            </w:r>
          </w:p>
        </w:tc>
        <w:tc>
          <w:tcPr>
            <w:tcW w:w="431" w:type="pct"/>
            <w:vAlign w:val="center"/>
          </w:tcPr>
          <w:p>
            <w:pPr>
              <w:snapToGrid w:val="0"/>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套</w:t>
            </w:r>
          </w:p>
        </w:tc>
        <w:tc>
          <w:tcPr>
            <w:tcW w:w="589" w:type="pct"/>
            <w:vAlign w:val="center"/>
          </w:tcPr>
          <w:p>
            <w:pPr>
              <w:snapToGrid w:val="0"/>
              <w:spacing w:line="276"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521" w:type="pct"/>
            <w:vAlign w:val="center"/>
          </w:tcPr>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多通道直流主机箱：1台</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恒电位恒电流通道：8个；</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多通道交流阻抗机箱：1台；</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常规交流阻抗通道：2个；</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高频交流阻抗单元：1套；</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操作软件：1套；</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Zview阻抗模拟电路：1套;</w:t>
            </w:r>
          </w:p>
          <w:p>
            <w:pPr>
              <w:snapToGrid w:val="0"/>
              <w:spacing w:line="276"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高性能电脑：1台；</w:t>
            </w:r>
          </w:p>
          <w:p>
            <w:pPr>
              <w:snapToGrid w:val="0"/>
              <w:spacing w:line="276" w:lineRule="auto"/>
              <w:jc w:val="left"/>
              <w:rPr>
                <w:rFonts w:asciiTheme="minorEastAsia" w:hAnsiTheme="minorEastAsia"/>
                <w:sz w:val="24"/>
              </w:rPr>
            </w:pPr>
            <w:r>
              <w:rPr>
                <w:rFonts w:hint="eastAsia" w:ascii="仿宋_GB2312" w:hAnsi="仿宋_GB2312" w:eastAsia="仿宋_GB2312" w:cs="仿宋_GB2312"/>
                <w:sz w:val="22"/>
                <w:szCs w:val="22"/>
              </w:rPr>
              <w:t>UPS稳压电源：1套。</w:t>
            </w:r>
          </w:p>
        </w:tc>
      </w:tr>
    </w:tbl>
    <w:p>
      <w:pPr>
        <w:keepNext w:val="0"/>
        <w:keepLines w:val="0"/>
        <w:pageBreakBefore w:val="0"/>
        <w:widowControl/>
        <w:kinsoku/>
        <w:wordWrap/>
        <w:overflowPunct/>
        <w:topLinePunct w:val="0"/>
        <w:bidi w:val="0"/>
        <w:snapToGrid w:val="0"/>
        <w:spacing w:line="460" w:lineRule="exact"/>
        <w:ind w:firstLine="560" w:firstLineChars="200"/>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 </w:t>
      </w:r>
      <w:r>
        <w:rPr>
          <w:rFonts w:hint="eastAsia" w:ascii="仿宋_GB2312" w:hAnsi="仿宋_GB2312" w:eastAsia="仿宋_GB2312" w:cs="仿宋_GB2312"/>
          <w:b/>
          <w:bCs/>
          <w:kern w:val="0"/>
          <w:sz w:val="28"/>
          <w:szCs w:val="28"/>
          <w:lang w:val="en-US" w:eastAsia="zh-CN" w:bidi="ar-SA"/>
        </w:rPr>
        <w:t>(二) 仪器总体要求</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主要用途：用于新能源材料、电化学等学科的科学研究，具体专业包括：锂离子电池、燃料电池、太阳能电池、超级电容器研究，电解与电镀研究，腐蚀测试等电化学领域的研究，尤其适用于大型动力电池或储能电池的研究，可测试锂离子电池的电化学性能（循环伏安、阶梯放电、高频电化学阻抗、恒电位/恒电流放电、放电寿命）表征测试，对阻抗进行谐波分析研究以及对电池组整体及单体电池的阻抗图谱分析，同时必须满足固态电解质的研究阻抗高频率和高精度的测试要求。</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2.工作条件：温度15-30度，电源220V-50HZ，功率&gt;1500W。</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6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3.技术指标</w:t>
      </w:r>
    </w:p>
    <w:p>
      <w:pPr>
        <w:keepNext w:val="0"/>
        <w:keepLines w:val="0"/>
        <w:pageBreakBefore w:val="0"/>
        <w:widowControl/>
        <w:kinsoku/>
        <w:wordWrap/>
        <w:overflowPunct/>
        <w:topLinePunct w:val="0"/>
        <w:bidi w:val="0"/>
        <w:snapToGrid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一）直流分析仪单元</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★1.恒电位/恒电流仪通道数量：每个主机有8个独立通道，每个通道标配电流4A（无需外接电流放大器），且均具备浮地功能；</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2.最大功率：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 每个通道电流标配： ±4A ；并且8个通道电流可并联；</w:t>
      </w:r>
    </w:p>
    <w:p>
      <w:pPr>
        <w:keepNext w:val="0"/>
        <w:keepLines w:val="0"/>
        <w:pageBreakBefore w:val="0"/>
        <w:kinsoku/>
        <w:wordWrap/>
        <w:overflowPunct/>
        <w:topLinePunct w:val="0"/>
        <w:autoSpaceDE w:val="0"/>
        <w:autoSpaceDN w:val="0"/>
        <w:bidi w:val="0"/>
        <w:adjustRightInd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 每个通道最大功率大于等于40W；</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★2.3仪器可配置8个温度通道，可用于样品表面温度的监测，有效应对电池材料安全性能测试要求；</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3.电压测量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3.1 最大电压：+10V / -3V；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3.2 精确性： 量程的±0.1%；</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★3.3电位扫描方式：每个通道均具有LINEAR SCAN线性扫描及STAIR CASE阶梯波扫描双重方式；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4.电流测量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4.1 每通道最大电流：+/-4A；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4.2 准确性：范围的±0.1%；</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二）多通道阻抗分析仪单元</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★1.阻抗分析仪数量：2个，配置独立阻抗机箱； </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 频率范围： 10μHz ~ 1MHz；</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1.2 阻抗频率分辨率：1 / 65,000,000； </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1.3 频率误差：±100ppm；</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1.4阻抗发生器模式：全频率范围单波或多波（FFT），可任意设置波长个数，以及自动优化选择波长以及个数；</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2.分析器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 最大采样速率（DAC）：40MHz ；</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pl-PL" w:eastAsia="zh-CN" w:bidi="ar-SA"/>
        </w:rPr>
      </w:pPr>
      <w:r>
        <w:rPr>
          <w:rFonts w:hint="eastAsia" w:ascii="仿宋_GB2312" w:hAnsi="仿宋_GB2312" w:eastAsia="仿宋_GB2312" w:cs="仿宋_GB2312"/>
          <w:kern w:val="0"/>
          <w:sz w:val="28"/>
          <w:szCs w:val="28"/>
          <w:lang w:val="en-US" w:eastAsia="zh-CN" w:bidi="ar-SA"/>
        </w:rPr>
        <w:t>★2.2 精度（频率分析）</w:t>
      </w:r>
      <w:r>
        <w:rPr>
          <w:rFonts w:hint="eastAsia" w:ascii="仿宋_GB2312" w:hAnsi="仿宋_GB2312" w:eastAsia="仿宋_GB2312" w:cs="仿宋_GB2312"/>
          <w:kern w:val="0"/>
          <w:sz w:val="28"/>
          <w:szCs w:val="28"/>
          <w:lang w:val="pl-PL" w:eastAsia="zh-CN" w:bidi="ar-SA"/>
        </w:rPr>
        <w:t>：±0.1%, ±0.1º</w:t>
      </w:r>
      <w:r>
        <w:rPr>
          <w:rFonts w:hint="eastAsia" w:ascii="仿宋_GB2312" w:hAnsi="仿宋_GB2312" w:eastAsia="仿宋_GB2312" w:cs="仿宋_GB2312"/>
          <w:kern w:val="0"/>
          <w:sz w:val="28"/>
          <w:szCs w:val="28"/>
          <w:lang w:val="en-US" w:eastAsia="zh-CN" w:bidi="ar-SA"/>
        </w:rPr>
        <w:t>相角；</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w:t>
      </w:r>
      <w:r>
        <w:rPr>
          <w:rFonts w:hint="eastAsia" w:ascii="仿宋_GB2312" w:hAnsi="仿宋_GB2312" w:eastAsia="仿宋_GB2312" w:cs="仿宋_GB2312"/>
          <w:kern w:val="0"/>
          <w:sz w:val="28"/>
          <w:szCs w:val="28"/>
          <w:lang w:val="pl-PL" w:eastAsia="zh-CN" w:bidi="ar-SA"/>
        </w:rPr>
        <w:t xml:space="preserve">2.3 </w:t>
      </w:r>
      <w:r>
        <w:rPr>
          <w:rFonts w:hint="eastAsia" w:ascii="仿宋_GB2312" w:hAnsi="仿宋_GB2312" w:eastAsia="仿宋_GB2312" w:cs="仿宋_GB2312"/>
          <w:kern w:val="0"/>
          <w:sz w:val="28"/>
          <w:szCs w:val="28"/>
          <w:lang w:val="en-US" w:eastAsia="zh-CN" w:bidi="ar-SA"/>
        </w:rPr>
        <w:t>阻抗技术：具备全频率范围40M快速单波，多波（FFT），谐波分析三大功能；</w:t>
      </w:r>
    </w:p>
    <w:p>
      <w:pPr>
        <w:keepNext w:val="0"/>
        <w:keepLines w:val="0"/>
        <w:pageBreakBefore w:val="0"/>
        <w:kinsoku/>
        <w:wordWrap/>
        <w:overflowPunct/>
        <w:topLinePunct w:val="0"/>
        <w:bidi w:val="0"/>
        <w:spacing w:line="460" w:lineRule="exact"/>
        <w:ind w:firstLine="482" w:firstLineChars="200"/>
        <w:textAlignment w:val="auto"/>
        <w:rPr>
          <w:rFonts w:ascii="宋体" w:hAnsi="宋体" w:eastAsia="宋体" w:cs="Arial"/>
          <w:b/>
          <w:bCs/>
          <w:color w:val="000000" w:themeColor="text1"/>
          <w:kern w:val="0"/>
          <w:sz w:val="24"/>
        </w:rPr>
      </w:pPr>
      <w:r>
        <w:rPr>
          <w:rFonts w:hint="eastAsia" w:ascii="宋体" w:hAnsi="宋体" w:eastAsia="宋体" w:cs="Arial"/>
          <w:b/>
          <w:bCs/>
          <w:color w:val="000000" w:themeColor="text1"/>
          <w:kern w:val="0"/>
          <w:sz w:val="24"/>
        </w:rPr>
        <w:t>（三）</w:t>
      </w:r>
      <w:r>
        <w:rPr>
          <w:rFonts w:hint="eastAsia" w:ascii="宋体" w:hAnsi="宋体" w:eastAsia="宋体"/>
          <w:b/>
          <w:color w:val="000000"/>
          <w:kern w:val="0"/>
          <w:sz w:val="24"/>
        </w:rPr>
        <w:t>高频阻抗分析单元</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★1.此单元必须为功能完备的专业设备，非配件。具备实现独立测试阻抗实验的功能，实际测试阻抗频率输出和测试均须达到32MHz。</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 电压模式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1.1.1 交流幅度：0-3V有效值（≤10MHz），0-1V有效值（&gt;10MHz）；</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1.1.2 交流分辨率：5mV；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1.1.3 直流偏置范围：±40.95V；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1.1.4 直流分辨率：10mV；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1.1.5 输出阻抗：50Ω±1%；</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 电流模式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1.2.1 交流幅度：0-60mA有效值（≤10MHz），0-20mA有效值（&gt;10MHz）；</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1.2.2 交流分辨率：100μA；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1.2.3 直流偏置范围：±100mA；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1.2.4 直流分辨率：200μA；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1.2.5 输出阻抗：&gt;200k@&lt;1kHz；</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★1.3 频率实测范围：10 μHz~32MHz，最大分辨率：10 μHz，误差：±100ppm；</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 频率分辨率：0.015ppm，即1/65000000；</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 准确性：0.1%，0.1°（需提供证明材料，如彩页、功能截图、网页截图等）；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1.6 扫描类型：交流/直流、电压/电流、频率（对数/线性）；</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1.7 电压：高到低端±46V（峰值），低到地端±0.4V（峰值）；</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1.8 电流：±100mA（峰值）；</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1.9 阻抗：低到地端100 kΩ//&lt;10nF；</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1.10 连接：BNC，浮地屏蔽；</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2.输入系统</w:t>
      </w:r>
      <w:r>
        <w:rPr>
          <w:rFonts w:hint="eastAsia" w:ascii="仿宋_GB2312" w:hAnsi="仿宋_GB2312" w:eastAsia="仿宋_GB2312" w:cs="仿宋_GB2312"/>
          <w:kern w:val="0"/>
          <w:sz w:val="28"/>
          <w:szCs w:val="28"/>
          <w:lang w:val="en-US" w:eastAsia="zh-CN" w:bidi="ar-SA"/>
        </w:rPr>
        <w:tab/>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 电压模式：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2.1.1 量程：30mV，300mV，3V；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2.1.2 最大分辨率：1μV；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2.1.3 满度峰值：±5V；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2.1.4 输入保护至：±46V；</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2.1.5 输入方式：单端/差分BNC；</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2.1.6 屏蔽：浮地/接地；</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2.1.7 偶合：直流/交流（-3dB@1Hz 处）；</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2.1.8 输入阻抗：高端对屏蔽1MΩ//&lt;35pF，屏蔽对地10kΩ// 330pF；</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 电流模式：</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2.2.1 量程：6μA，60μA，600μA，6mA，60mA；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2.2.2 最大分辨率：200pA；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2.2.3 满度峰值：±100mA；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2.2.4 输入保护至：±250mA；</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2.2.5 输入方式：单端BNC；</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2.2.6 偶合：直流/交流（-3dB@1Hz 处）；</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2.2.7 输入阻抗：高端对屏蔽≥600uA, 1Ω，屏蔽对地&lt;600uA, 50Ω；</w:t>
      </w:r>
    </w:p>
    <w:p>
      <w:pPr>
        <w:keepNext w:val="0"/>
        <w:keepLines w:val="0"/>
        <w:pageBreakBefore w:val="0"/>
        <w:kinsoku/>
        <w:wordWrap/>
        <w:overflowPunct/>
        <w:topLinePunct w:val="0"/>
        <w:bidi w:val="0"/>
        <w:spacing w:line="460" w:lineRule="exact"/>
        <w:ind w:firstLine="482" w:firstLineChars="200"/>
        <w:textAlignment w:val="auto"/>
        <w:rPr>
          <w:rFonts w:ascii="宋体" w:hAnsi="宋体" w:eastAsia="宋体" w:cs="Arial"/>
          <w:b/>
          <w:bCs/>
          <w:color w:val="000000" w:themeColor="text1"/>
          <w:kern w:val="0"/>
          <w:sz w:val="24"/>
        </w:rPr>
      </w:pPr>
      <w:r>
        <w:rPr>
          <w:rFonts w:hint="eastAsia" w:ascii="宋体" w:hAnsi="宋体" w:eastAsia="宋体" w:cs="Arial"/>
          <w:b/>
          <w:bCs/>
          <w:color w:val="000000" w:themeColor="text1"/>
          <w:kern w:val="0"/>
          <w:sz w:val="24"/>
        </w:rPr>
        <w:t>（四）</w:t>
      </w:r>
      <w:r>
        <w:rPr>
          <w:rFonts w:ascii="宋体" w:hAnsi="宋体" w:eastAsia="宋体"/>
          <w:b/>
          <w:color w:val="000000"/>
          <w:kern w:val="0"/>
          <w:sz w:val="24"/>
        </w:rPr>
        <w:t>软件</w:t>
      </w:r>
      <w:r>
        <w:rPr>
          <w:rFonts w:ascii="宋体" w:hAnsi="宋体" w:eastAsia="宋体" w:cs="Arial"/>
          <w:b/>
          <w:bCs/>
          <w:color w:val="000000" w:themeColor="text1"/>
          <w:kern w:val="0"/>
          <w:sz w:val="24"/>
        </w:rPr>
        <w:t xml:space="preserve"> </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1.具有电池和燃料电池所需的典型功能包括循环伏安，恒电压/恒电流充放电，GSM脉冲测试，欧姆降分析和阻抗测试，资料可图形显示或表格显示，也可输出到其它程序作详细的分析</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2.应用软件包括能源测试和通用电化学测试，包括恒电位、恒电流、循环伏安线性极化电阻分析和阻抗分析，资料可图形显示或表格显示，也可输出到其它程序作详细的分析。</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3.专业阻抗测试软件可对频响仪、直流偏压、交流信号放大器的操作控制 结果参数Z*, Y*, ε*, C* (实部、虚部、模、相位、损耗系数tanδ)可相对于频率、时间、温度、直流偏压、交流幅度作</w:t>
      </w:r>
      <w:r>
        <w:rPr>
          <w:rFonts w:hint="eastAsia" w:ascii="仿宋_GB2312" w:hAnsi="仿宋_GB2312" w:eastAsia="仿宋_GB2312" w:cs="仿宋_GB2312"/>
          <w:kern w:val="0"/>
          <w:sz w:val="28"/>
          <w:szCs w:val="28"/>
          <w:lang w:val="en-US" w:eastAsia="zh-CN" w:bidi="ar-SA"/>
        </w:rPr>
        <w:tab/>
      </w:r>
      <w:r>
        <w:rPr>
          <w:rFonts w:hint="eastAsia" w:ascii="仿宋_GB2312" w:hAnsi="仿宋_GB2312" w:eastAsia="仿宋_GB2312" w:cs="仿宋_GB2312"/>
          <w:kern w:val="0"/>
          <w:sz w:val="28"/>
          <w:szCs w:val="28"/>
          <w:lang w:val="en-US" w:eastAsia="zh-CN" w:bidi="ar-SA"/>
        </w:rPr>
        <w:t>波特图及复平面图。并且配置正版ZVIEW阻抗模拟电路拟合软件；</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4.序列实验设置个数不受限制；</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5.线性扫描循环次数超过80000次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（7）进风流量连续可调；</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（8）机械振动频率连续可调；</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（9）外壳304不绣钢, 与样品接触为316不锈钢、PTFE；</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（10）空气压力:3bar; 流量: 60L/min; 无水无油。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0C84A8F"/>
    <w:rsid w:val="00060300"/>
    <w:rsid w:val="002B2C2C"/>
    <w:rsid w:val="003328A5"/>
    <w:rsid w:val="00416BB1"/>
    <w:rsid w:val="004A4007"/>
    <w:rsid w:val="00901F23"/>
    <w:rsid w:val="00EB7E60"/>
    <w:rsid w:val="00FD3C99"/>
    <w:rsid w:val="04A122A7"/>
    <w:rsid w:val="0B8E73DC"/>
    <w:rsid w:val="0CF462EF"/>
    <w:rsid w:val="1E592455"/>
    <w:rsid w:val="23201794"/>
    <w:rsid w:val="2B724B56"/>
    <w:rsid w:val="2BD12DF8"/>
    <w:rsid w:val="30C84A8F"/>
    <w:rsid w:val="346311B0"/>
    <w:rsid w:val="3522139B"/>
    <w:rsid w:val="3E9E55C2"/>
    <w:rsid w:val="40C33A32"/>
    <w:rsid w:val="42B30761"/>
    <w:rsid w:val="47947ED7"/>
    <w:rsid w:val="483E65AE"/>
    <w:rsid w:val="4C2A6435"/>
    <w:rsid w:val="7BD5403F"/>
    <w:rsid w:val="7FC00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 w:type="paragraph" w:styleId="10">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标题 4 Char"/>
    <w:basedOn w:val="7"/>
    <w:link w:val="2"/>
    <w:semiHidden/>
    <w:uiPriority w:val="0"/>
    <w:rPr>
      <w:rFonts w:ascii="Cambria" w:hAnsi="Cambria"/>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395</Words>
  <Characters>2253</Characters>
  <Lines>18</Lines>
  <Paragraphs>5</Paragraphs>
  <TotalTime>23</TotalTime>
  <ScaleCrop>false</ScaleCrop>
  <LinksUpToDate>false</LinksUpToDate>
  <CharactersWithSpaces>2643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2021-12-06T09:49:01Z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