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
          <w:bCs/>
          <w:color w:val="000000"/>
          <w:sz w:val="44"/>
          <w:szCs w:val="44"/>
          <w:lang w:val="en-US" w:eastAsia="zh-CN"/>
        </w:rPr>
        <w:t>清源</w:t>
      </w:r>
      <w:r>
        <w:rPr>
          <w:rFonts w:hint="eastAsia" w:ascii="方正小标宋简体" w:hAnsi="方正小标宋简体" w:eastAsia="方正小标宋简体" w:cs="方正小标宋简体"/>
          <w:b/>
          <w:bCs/>
          <w:color w:val="000000"/>
          <w:sz w:val="44"/>
          <w:szCs w:val="44"/>
        </w:rPr>
        <w:t>创新实验室</w:t>
      </w:r>
      <w:r>
        <w:rPr>
          <w:rFonts w:hint="eastAsia" w:ascii="方正小标宋简体" w:hAnsi="方正小标宋简体" w:eastAsia="方正小标宋简体" w:cs="方正小标宋简体"/>
          <w:b/>
          <w:bCs/>
          <w:color w:val="000000"/>
          <w:sz w:val="44"/>
          <w:szCs w:val="44"/>
          <w:lang w:val="en-US" w:eastAsia="zh-CN"/>
        </w:rPr>
        <w:t>高效液相色谱仪</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393939"/>
          <w:spacing w:val="0"/>
          <w:sz w:val="44"/>
          <w:szCs w:val="44"/>
          <w:shd w:val="clear" w:fill="FFFFFF"/>
        </w:rPr>
      </w:pPr>
      <w:r>
        <w:rPr>
          <w:rFonts w:hint="eastAsia" w:ascii="方正小标宋简体" w:hAnsi="方正小标宋简体" w:eastAsia="方正小标宋简体" w:cs="方正小标宋简体"/>
          <w:b/>
          <w:bCs/>
          <w:color w:val="000000"/>
          <w:sz w:val="44"/>
          <w:szCs w:val="44"/>
        </w:rPr>
        <w:t>采购需求概况</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left"/>
        <w:textAlignment w:val="auto"/>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一、仪器设备使用的项目</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600" w:firstLineChars="200"/>
        <w:textAlignment w:val="auto"/>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液相</w:t>
      </w:r>
      <w:r>
        <w:rPr>
          <w:rFonts w:hint="eastAsia" w:ascii="仿宋_GB2312" w:hAnsi="仿宋_GB2312" w:eastAsia="仿宋_GB2312" w:cs="仿宋_GB2312"/>
          <w:b w:val="0"/>
          <w:bCs w:val="0"/>
          <w:color w:val="000000"/>
          <w:sz w:val="30"/>
          <w:szCs w:val="30"/>
          <w:lang w:val="en-US" w:eastAsia="zh-CN"/>
        </w:rPr>
        <w:fldChar w:fldCharType="begin"/>
      </w:r>
      <w:r>
        <w:rPr>
          <w:rFonts w:hint="eastAsia" w:ascii="仿宋_GB2312" w:hAnsi="仿宋_GB2312" w:eastAsia="仿宋_GB2312" w:cs="仿宋_GB2312"/>
          <w:b w:val="0"/>
          <w:bCs w:val="0"/>
          <w:color w:val="000000"/>
          <w:sz w:val="30"/>
          <w:szCs w:val="30"/>
          <w:lang w:val="en-US" w:eastAsia="zh-CN"/>
        </w:rPr>
        <w:instrText xml:space="preserve"> HYPERLINK "http://baike.haosou.com/doc/5579765.html" \t "_blank" </w:instrText>
      </w:r>
      <w:r>
        <w:rPr>
          <w:rFonts w:hint="eastAsia" w:ascii="仿宋_GB2312" w:hAnsi="仿宋_GB2312" w:eastAsia="仿宋_GB2312" w:cs="仿宋_GB2312"/>
          <w:b w:val="0"/>
          <w:bCs w:val="0"/>
          <w:color w:val="000000"/>
          <w:sz w:val="30"/>
          <w:szCs w:val="30"/>
          <w:lang w:val="en-US" w:eastAsia="zh-CN"/>
        </w:rPr>
        <w:fldChar w:fldCharType="separate"/>
      </w:r>
      <w:r>
        <w:rPr>
          <w:rFonts w:hint="eastAsia" w:ascii="仿宋_GB2312" w:hAnsi="仿宋_GB2312" w:eastAsia="仿宋_GB2312" w:cs="仿宋_GB2312"/>
          <w:b w:val="0"/>
          <w:bCs w:val="0"/>
          <w:color w:val="000000"/>
          <w:sz w:val="30"/>
          <w:szCs w:val="30"/>
          <w:lang w:val="en-US" w:eastAsia="zh-CN"/>
        </w:rPr>
        <w:t>色谱法</w:t>
      </w:r>
      <w:r>
        <w:rPr>
          <w:rFonts w:hint="eastAsia" w:ascii="仿宋_GB2312" w:hAnsi="仿宋_GB2312" w:eastAsia="仿宋_GB2312" w:cs="仿宋_GB2312"/>
          <w:b w:val="0"/>
          <w:bCs w:val="0"/>
          <w:color w:val="000000"/>
          <w:sz w:val="30"/>
          <w:szCs w:val="30"/>
          <w:lang w:val="en-US" w:eastAsia="zh-CN"/>
        </w:rPr>
        <w:fldChar w:fldCharType="end"/>
      </w:r>
      <w:r>
        <w:rPr>
          <w:rFonts w:hint="eastAsia" w:ascii="仿宋_GB2312" w:hAnsi="仿宋_GB2312" w:eastAsia="仿宋_GB2312" w:cs="仿宋_GB2312"/>
          <w:b w:val="0"/>
          <w:bCs w:val="0"/>
          <w:color w:val="000000"/>
          <w:sz w:val="30"/>
          <w:szCs w:val="30"/>
          <w:lang w:val="en-US" w:eastAsia="zh-CN"/>
        </w:rPr>
        <w:t>是对有机化合物是一种有效的分离</w:t>
      </w:r>
      <w:r>
        <w:rPr>
          <w:rFonts w:hint="eastAsia" w:ascii="仿宋_GB2312" w:hAnsi="仿宋_GB2312" w:eastAsia="仿宋_GB2312" w:cs="仿宋_GB2312"/>
          <w:b w:val="0"/>
          <w:bCs w:val="0"/>
          <w:color w:val="000000"/>
          <w:sz w:val="30"/>
          <w:szCs w:val="30"/>
          <w:lang w:val="en-US" w:eastAsia="zh-CN"/>
        </w:rPr>
        <w:fldChar w:fldCharType="begin"/>
      </w:r>
      <w:r>
        <w:rPr>
          <w:rFonts w:hint="eastAsia" w:ascii="仿宋_GB2312" w:hAnsi="仿宋_GB2312" w:eastAsia="仿宋_GB2312" w:cs="仿宋_GB2312"/>
          <w:b w:val="0"/>
          <w:bCs w:val="0"/>
          <w:color w:val="000000"/>
          <w:sz w:val="30"/>
          <w:szCs w:val="30"/>
          <w:lang w:val="en-US" w:eastAsia="zh-CN"/>
        </w:rPr>
        <w:instrText xml:space="preserve"> HYPERLINK "http://baike.haosou.com/doc/4412067.html" \t "_blank" </w:instrText>
      </w:r>
      <w:r>
        <w:rPr>
          <w:rFonts w:hint="eastAsia" w:ascii="仿宋_GB2312" w:hAnsi="仿宋_GB2312" w:eastAsia="仿宋_GB2312" w:cs="仿宋_GB2312"/>
          <w:b w:val="0"/>
          <w:bCs w:val="0"/>
          <w:color w:val="000000"/>
          <w:sz w:val="30"/>
          <w:szCs w:val="30"/>
          <w:lang w:val="en-US" w:eastAsia="zh-CN"/>
        </w:rPr>
        <w:fldChar w:fldCharType="separate"/>
      </w:r>
      <w:r>
        <w:rPr>
          <w:rFonts w:hint="eastAsia" w:ascii="仿宋_GB2312" w:hAnsi="仿宋_GB2312" w:eastAsia="仿宋_GB2312" w:cs="仿宋_GB2312"/>
          <w:b w:val="0"/>
          <w:bCs w:val="0"/>
          <w:color w:val="000000"/>
          <w:sz w:val="30"/>
          <w:szCs w:val="30"/>
          <w:lang w:val="en-US" w:eastAsia="zh-CN"/>
        </w:rPr>
        <w:t>分析方法</w:t>
      </w:r>
      <w:r>
        <w:rPr>
          <w:rFonts w:hint="eastAsia" w:ascii="仿宋_GB2312" w:hAnsi="仿宋_GB2312" w:eastAsia="仿宋_GB2312" w:cs="仿宋_GB2312"/>
          <w:b w:val="0"/>
          <w:bCs w:val="0"/>
          <w:color w:val="000000"/>
          <w:sz w:val="30"/>
          <w:szCs w:val="30"/>
          <w:lang w:val="en-US" w:eastAsia="zh-CN"/>
        </w:rPr>
        <w:fldChar w:fldCharType="end"/>
      </w:r>
      <w:r>
        <w:rPr>
          <w:rFonts w:hint="eastAsia" w:ascii="仿宋_GB2312" w:hAnsi="仿宋_GB2312" w:eastAsia="仿宋_GB2312" w:cs="仿宋_GB2312"/>
          <w:b w:val="0"/>
          <w:bCs w:val="0"/>
          <w:color w:val="000000"/>
          <w:sz w:val="30"/>
          <w:szCs w:val="30"/>
          <w:lang w:val="en-US" w:eastAsia="zh-CN"/>
        </w:rPr>
        <w:t xml:space="preserve">，特别适合于进行有机化合物的定量分析，被广泛应用于复杂组分的分离与鉴定。能为本项目精细化工工艺多组分杂质中污染物的分析提供有效的定性、定量工具。 </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600" w:firstLineChars="200"/>
        <w:textAlignment w:val="auto"/>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随着科学技术的发展和环境学科教学领域拓展的需要，我课题组精细化工工艺多组分杂质分析学科担负着大量科研分析工作和为企业担负技术顾问的需要以及本科生、研究生培养教育，学院平台目前配备的设备已经不能满足我课题组精细化工工艺多组分杂质分析学科现有开展科研和教学工作的需要，严重影响我课题组的人才培养（本科生与研究生课程教学）和科研工作，制约学科的建设与发展。鉴于上述情况，为了更好地保证教学、科研工作的顺利完成，经过学院相关教师的多轮认真讨论，一致认为，液相色谱仪是我课题组目前需求迫切、发挥效益较大的分析检测仪器，所以我课题组申请尽快购置一台服务于综合实验平台分析测试为主、性能指标能够满足常规科研和教学需要、灵敏度高、性价比高、性能稳定可靠的进口品牌的液相色谱仪。</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600" w:firstLineChars="200"/>
        <w:textAlignment w:val="auto"/>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二、在该项目中所承担的任务</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00" w:firstLineChars="200"/>
        <w:jc w:val="left"/>
        <w:textAlignment w:val="auto"/>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lang w:val="en-US" w:eastAsia="zh-CN"/>
        </w:rPr>
        <w:t>液相色谱仪具有高适用性高灵敏度特点，被广泛应用于复杂组分的分离与鉴定，能大大丰富本科教学内容和提高基础科研的质量。利用其有极强的分离能力分离化工品中各类高沸点、大分子化合物，该设备主要用于本单位教授完成精细化工专业的定性、定量分析的科研项目需要，同时该仪器分析又具有多学科交叉性，发展性和前沿性特点，在实验教学中也起到了提高实验教学质量与培养研究生、本科生动手能力的重要作用，相比其他传统分析仪器，它具有高速准确，灵敏度高、分辨率高，可反复使用的优点，已经成为科学实验中不可缺少的重要仪器，能极大满足研究生教学与科研培养的要求，培养广大学生综合知识和创新能力。</w:t>
      </w:r>
    </w:p>
    <w:p>
      <w:pPr>
        <w:keepNext w:val="0"/>
        <w:keepLines w:val="0"/>
        <w:pageBreakBefore w:val="0"/>
        <w:widowControl w:val="0"/>
        <w:numPr>
          <w:numId w:val="0"/>
        </w:numPr>
        <w:kinsoku/>
        <w:wordWrap/>
        <w:overflowPunct/>
        <w:topLinePunct w:val="0"/>
        <w:autoSpaceDE/>
        <w:autoSpaceDN/>
        <w:bidi w:val="0"/>
        <w:adjustRightInd/>
        <w:snapToGrid w:val="0"/>
        <w:spacing w:line="540" w:lineRule="exact"/>
        <w:ind w:left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三、国内外同类项目所用的仪器设备及优缺点对比</w:t>
      </w:r>
    </w:p>
    <w:tbl>
      <w:tblPr>
        <w:tblStyle w:val="4"/>
        <w:tblW w:w="5000" w:type="pct"/>
        <w:tblInd w:w="0" w:type="dxa"/>
        <w:tblLayout w:type="autofit"/>
        <w:tblCellMar>
          <w:top w:w="0" w:type="dxa"/>
          <w:left w:w="10" w:type="dxa"/>
          <w:bottom w:w="0" w:type="dxa"/>
          <w:right w:w="10" w:type="dxa"/>
        </w:tblCellMar>
      </w:tblPr>
      <w:tblGrid>
        <w:gridCol w:w="1143"/>
        <w:gridCol w:w="1786"/>
        <w:gridCol w:w="2000"/>
        <w:gridCol w:w="1816"/>
        <w:gridCol w:w="1581"/>
      </w:tblGrid>
      <w:tr>
        <w:trPr>
          <w:trHeight w:val="401"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名称</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型号</w:t>
            </w:r>
          </w:p>
        </w:tc>
        <w:tc>
          <w:tcPr>
            <w:tcW w:w="111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制造公司</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使用单位</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购置时间</w:t>
            </w:r>
          </w:p>
        </w:tc>
      </w:tr>
      <w:tr>
        <w:tblPrEx>
          <w:tblCellMar>
            <w:top w:w="0" w:type="dxa"/>
            <w:left w:w="10" w:type="dxa"/>
            <w:bottom w:w="0" w:type="dxa"/>
            <w:right w:w="10" w:type="dxa"/>
          </w:tblCellMar>
        </w:tblPrEx>
        <w:trPr>
          <w:trHeight w:val="412"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液</w:t>
            </w:r>
            <w:r>
              <w:rPr>
                <w:rFonts w:hint="eastAsia" w:ascii="仿宋_GB2312" w:hAnsi="仿宋_GB2312" w:eastAsia="仿宋_GB2312" w:cs="仿宋_GB2312"/>
                <w:color w:val="000000"/>
                <w:spacing w:val="0"/>
                <w:w w:val="100"/>
                <w:position w:val="0"/>
              </w:rPr>
              <w:t>相色谱仪</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LA-20A</w:t>
            </w:r>
          </w:p>
        </w:tc>
        <w:tc>
          <w:tcPr>
            <w:tcW w:w="111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日本岛津</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2013</w:t>
            </w:r>
          </w:p>
        </w:tc>
      </w:tr>
      <w:tr>
        <w:tblPrEx>
          <w:tblCellMar>
            <w:top w:w="0" w:type="dxa"/>
            <w:left w:w="10" w:type="dxa"/>
            <w:bottom w:w="0" w:type="dxa"/>
            <w:right w:w="10" w:type="dxa"/>
          </w:tblCellMar>
        </w:tblPrEx>
        <w:trPr>
          <w:trHeight w:val="480"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液</w:t>
            </w:r>
            <w:r>
              <w:rPr>
                <w:rFonts w:hint="eastAsia" w:ascii="仿宋_GB2312" w:hAnsi="仿宋_GB2312" w:eastAsia="仿宋_GB2312" w:cs="仿宋_GB2312"/>
                <w:color w:val="000000"/>
                <w:spacing w:val="0"/>
                <w:w w:val="100"/>
                <w:position w:val="0"/>
              </w:rPr>
              <w:t>相色谱仪</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1260</w:t>
            </w:r>
          </w:p>
        </w:tc>
        <w:tc>
          <w:tcPr>
            <w:tcW w:w="111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美国安捷伦</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2011</w:t>
            </w:r>
          </w:p>
        </w:tc>
      </w:tr>
      <w:tr>
        <w:tblPrEx>
          <w:tblCellMar>
            <w:top w:w="0" w:type="dxa"/>
            <w:left w:w="10" w:type="dxa"/>
            <w:bottom w:w="0" w:type="dxa"/>
            <w:right w:w="10" w:type="dxa"/>
          </w:tblCellMar>
        </w:tblPrEx>
        <w:trPr>
          <w:trHeight w:val="404"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lang w:val="en-US" w:eastAsia="zh-CN"/>
              </w:rPr>
              <w:t>液</w:t>
            </w:r>
            <w:r>
              <w:rPr>
                <w:rFonts w:hint="eastAsia" w:ascii="仿宋_GB2312" w:hAnsi="仿宋_GB2312" w:eastAsia="仿宋_GB2312" w:cs="仿宋_GB2312"/>
                <w:color w:val="000000"/>
                <w:spacing w:val="0"/>
                <w:w w:val="100"/>
                <w:position w:val="0"/>
              </w:rPr>
              <w:t>相色谱仪</w:t>
            </w:r>
          </w:p>
        </w:tc>
        <w:tc>
          <w:tcPr>
            <w:tcW w:w="109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2695</w:t>
            </w:r>
          </w:p>
        </w:tc>
        <w:tc>
          <w:tcPr>
            <w:tcW w:w="1115"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美国Waters</w:t>
            </w:r>
          </w:p>
        </w:tc>
        <w:tc>
          <w:tcPr>
            <w:tcW w:w="1112"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福州大学</w:t>
            </w:r>
          </w:p>
        </w:tc>
        <w:tc>
          <w:tcPr>
            <w:tcW w:w="96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default"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en-US" w:eastAsia="zh-CN"/>
              </w:rPr>
              <w:t>2017</w:t>
            </w:r>
          </w:p>
        </w:tc>
      </w:tr>
      <w:tr>
        <w:tblPrEx>
          <w:tblCellMar>
            <w:top w:w="0" w:type="dxa"/>
            <w:left w:w="10" w:type="dxa"/>
            <w:bottom w:w="0" w:type="dxa"/>
            <w:right w:w="10" w:type="dxa"/>
          </w:tblCellMar>
        </w:tblPrEx>
        <w:trPr>
          <w:trHeight w:val="401" w:hRule="exact"/>
        </w:trPr>
        <w:tc>
          <w:tcPr>
            <w:tcW w:w="500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10"/>
                <w:szCs w:val="10"/>
              </w:rPr>
            </w:pPr>
            <w:r>
              <w:rPr>
                <w:rFonts w:hint="eastAsia" w:ascii="黑体" w:hAnsi="黑体" w:eastAsia="黑体" w:cs="黑体"/>
                <w:color w:val="000000"/>
                <w:spacing w:val="0"/>
                <w:w w:val="100"/>
                <w:position w:val="0"/>
              </w:rPr>
              <w:t>优缺点对比</w:t>
            </w:r>
          </w:p>
        </w:tc>
      </w:tr>
      <w:tr>
        <w:tblPrEx>
          <w:tblCellMar>
            <w:top w:w="0" w:type="dxa"/>
            <w:left w:w="10" w:type="dxa"/>
            <w:bottom w:w="0" w:type="dxa"/>
            <w:right w:w="10" w:type="dxa"/>
          </w:tblCellMar>
        </w:tblPrEx>
        <w:trPr>
          <w:trHeight w:val="390"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rPr>
              <w:t>品牌</w:t>
            </w:r>
          </w:p>
        </w:tc>
        <w:tc>
          <w:tcPr>
            <w:tcW w:w="220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rPr>
            </w:pPr>
            <w:r>
              <w:rPr>
                <w:rFonts w:hint="eastAsia" w:ascii="黑体" w:hAnsi="黑体" w:eastAsia="黑体" w:cs="黑体"/>
                <w:color w:val="000000"/>
                <w:spacing w:val="0"/>
                <w:w w:val="100"/>
                <w:position w:val="0"/>
              </w:rPr>
              <w:t>优点</w:t>
            </w:r>
          </w:p>
        </w:tc>
        <w:tc>
          <w:tcPr>
            <w:tcW w:w="20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right="0"/>
              <w:jc w:val="center"/>
              <w:textAlignment w:val="auto"/>
              <w:rPr>
                <w:rFonts w:hint="eastAsia" w:ascii="黑体" w:hAnsi="黑体" w:eastAsia="黑体" w:cs="黑体"/>
              </w:rPr>
            </w:pPr>
            <w:r>
              <w:rPr>
                <w:rFonts w:hint="eastAsia" w:ascii="黑体" w:hAnsi="黑体" w:eastAsia="黑体" w:cs="黑体"/>
                <w:color w:val="000000"/>
                <w:spacing w:val="0"/>
                <w:w w:val="100"/>
                <w:position w:val="0"/>
              </w:rPr>
              <w:t>缺点</w:t>
            </w:r>
          </w:p>
        </w:tc>
      </w:tr>
      <w:tr>
        <w:tblPrEx>
          <w:tblCellMar>
            <w:top w:w="0" w:type="dxa"/>
            <w:left w:w="10" w:type="dxa"/>
            <w:bottom w:w="0" w:type="dxa"/>
            <w:right w:w="10" w:type="dxa"/>
          </w:tblCellMar>
        </w:tblPrEx>
        <w:trPr>
          <w:trHeight w:val="482"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日本岛津</w:t>
            </w:r>
          </w:p>
        </w:tc>
        <w:tc>
          <w:tcPr>
            <w:tcW w:w="220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交叉污染：0.0025%</w:t>
            </w: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CN" w:bidi="zh-TW"/>
              </w:rPr>
              <w:t>，</w:t>
            </w:r>
            <w:r>
              <w:rPr>
                <w:rFonts w:hint="eastAsia" w:ascii="仿宋_GB2312" w:hAnsi="仿宋_GB2312" w:eastAsia="仿宋_GB2312" w:cs="仿宋_GB2312"/>
                <w:color w:val="000000"/>
                <w:spacing w:val="0"/>
                <w:w w:val="100"/>
                <w:position w:val="0"/>
              </w:rPr>
              <w:t>非常适合研发</w:t>
            </w:r>
          </w:p>
        </w:tc>
        <w:tc>
          <w:tcPr>
            <w:tcW w:w="20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无</w:t>
            </w:r>
          </w:p>
        </w:tc>
      </w:tr>
      <w:tr>
        <w:tblPrEx>
          <w:tblCellMar>
            <w:top w:w="0" w:type="dxa"/>
            <w:left w:w="10" w:type="dxa"/>
            <w:bottom w:w="0" w:type="dxa"/>
            <w:right w:w="10" w:type="dxa"/>
          </w:tblCellMar>
        </w:tblPrEx>
        <w:trPr>
          <w:trHeight w:val="422"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美国安捷伦</w:t>
            </w:r>
          </w:p>
        </w:tc>
        <w:tc>
          <w:tcPr>
            <w:tcW w:w="220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交叉污染：0.05%</w:t>
            </w:r>
          </w:p>
        </w:tc>
        <w:tc>
          <w:tcPr>
            <w:tcW w:w="20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w:t>
            </w:r>
            <w:r>
              <w:rPr>
                <w:rFonts w:hint="eastAsia" w:ascii="仿宋_GB2312" w:hAnsi="仿宋_GB2312" w:eastAsia="仿宋_GB2312" w:cs="仿宋_GB2312"/>
                <w:color w:val="000000"/>
                <w:spacing w:val="0"/>
                <w:w w:val="100"/>
                <w:position w:val="0"/>
                <w:lang w:val="en-US" w:eastAsia="zh-CN"/>
              </w:rPr>
              <w:t>微量</w:t>
            </w:r>
            <w:r>
              <w:rPr>
                <w:rFonts w:hint="eastAsia" w:ascii="仿宋_GB2312" w:hAnsi="仿宋_GB2312" w:eastAsia="仿宋_GB2312" w:cs="仿宋_GB2312"/>
                <w:color w:val="000000"/>
                <w:spacing w:val="0"/>
                <w:w w:val="100"/>
                <w:position w:val="0"/>
              </w:rPr>
              <w:t>的样品</w:t>
            </w:r>
          </w:p>
        </w:tc>
      </w:tr>
      <w:tr>
        <w:tblPrEx>
          <w:tblCellMar>
            <w:top w:w="0" w:type="dxa"/>
            <w:left w:w="10" w:type="dxa"/>
            <w:bottom w:w="0" w:type="dxa"/>
            <w:right w:w="10" w:type="dxa"/>
          </w:tblCellMar>
        </w:tblPrEx>
        <w:trPr>
          <w:trHeight w:val="584" w:hRule="exact"/>
        </w:trPr>
        <w:tc>
          <w:tcPr>
            <w:tcW w:w="70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美国Waters</w:t>
            </w:r>
          </w:p>
        </w:tc>
        <w:tc>
          <w:tcPr>
            <w:tcW w:w="220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交叉污染&lt; 0.1%</w:t>
            </w:r>
          </w:p>
        </w:tc>
        <w:tc>
          <w:tcPr>
            <w:tcW w:w="2082"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leftChars="0" w:right="0" w:firstLine="0" w:firstLineChars="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不适合</w:t>
            </w:r>
            <w:r>
              <w:rPr>
                <w:rFonts w:hint="eastAsia" w:ascii="仿宋_GB2312" w:hAnsi="仿宋_GB2312" w:eastAsia="仿宋_GB2312" w:cs="仿宋_GB2312"/>
                <w:color w:val="000000"/>
                <w:spacing w:val="0"/>
                <w:w w:val="100"/>
                <w:position w:val="0"/>
                <w:lang w:val="en-US" w:eastAsia="zh-CN"/>
              </w:rPr>
              <w:t>微量</w:t>
            </w:r>
            <w:r>
              <w:rPr>
                <w:rFonts w:hint="eastAsia" w:ascii="仿宋_GB2312" w:hAnsi="仿宋_GB2312" w:eastAsia="仿宋_GB2312" w:cs="仿宋_GB2312"/>
                <w:color w:val="000000"/>
                <w:spacing w:val="0"/>
                <w:w w:val="100"/>
                <w:position w:val="0"/>
              </w:rPr>
              <w:t>的样品</w:t>
            </w:r>
          </w:p>
        </w:tc>
      </w:tr>
      <w:tr>
        <w:tblPrEx>
          <w:tblCellMar>
            <w:top w:w="0" w:type="dxa"/>
            <w:left w:w="10" w:type="dxa"/>
            <w:bottom w:w="0" w:type="dxa"/>
            <w:right w:w="10" w:type="dxa"/>
          </w:tblCellMar>
        </w:tblPrEx>
        <w:trPr>
          <w:trHeight w:val="505" w:hRule="exact"/>
        </w:trPr>
        <w:tc>
          <w:tcPr>
            <w:tcW w:w="5000" w:type="pct"/>
            <w:gridSpan w:val="5"/>
            <w:tcBorders>
              <w:top w:val="single" w:color="auto" w:sz="4" w:space="0"/>
              <w:left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同类项目所用仪器设备的优缺点（提供不少于三家制造公司的仪器设备）</w:t>
            </w:r>
          </w:p>
        </w:tc>
      </w:tr>
      <w:tr>
        <w:tblPrEx>
          <w:tblCellMar>
            <w:top w:w="0" w:type="dxa"/>
            <w:left w:w="10" w:type="dxa"/>
            <w:bottom w:w="0" w:type="dxa"/>
            <w:right w:w="10" w:type="dxa"/>
          </w:tblCellMar>
        </w:tblPrEx>
        <w:trPr>
          <w:trHeight w:val="663" w:hRule="exact"/>
        </w:trPr>
        <w:tc>
          <w:tcPr>
            <w:tcW w:w="708" w:type="pct"/>
            <w:tcBorders>
              <w:top w:val="single" w:color="auto" w:sz="4" w:space="0"/>
              <w:lef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类别</w:t>
            </w:r>
          </w:p>
        </w:tc>
        <w:tc>
          <w:tcPr>
            <w:tcW w:w="1094" w:type="pct"/>
            <w:tcBorders>
              <w:top w:val="single" w:color="auto" w:sz="4" w:space="0"/>
              <w:lef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rPr>
            </w:pPr>
            <w:r>
              <w:rPr>
                <w:rFonts w:hint="eastAsia" w:ascii="黑体" w:hAnsi="黑体" w:eastAsia="黑体" w:cs="黑体"/>
                <w:color w:val="000000"/>
                <w:spacing w:val="0"/>
                <w:w w:val="100"/>
                <w:position w:val="0"/>
              </w:rPr>
              <w:t>项目</w:t>
            </w:r>
          </w:p>
        </w:tc>
        <w:tc>
          <w:tcPr>
            <w:tcW w:w="1115" w:type="pct"/>
            <w:tcBorders>
              <w:top w:val="single" w:color="auto" w:sz="4" w:space="0"/>
              <w:lef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eastAsia" w:ascii="黑体" w:hAnsi="黑体" w:eastAsia="黑体" w:cs="黑体"/>
                <w:color w:val="000000"/>
                <w:spacing w:val="0"/>
                <w:w w:val="100"/>
                <w:position w:val="0"/>
                <w:lang w:eastAsia="zh-CN"/>
              </w:rPr>
            </w:pPr>
            <w:r>
              <w:rPr>
                <w:rFonts w:hint="eastAsia" w:ascii="黑体" w:hAnsi="黑体" w:eastAsia="黑体" w:cs="黑体"/>
                <w:color w:val="000000"/>
                <w:spacing w:val="0"/>
                <w:w w:val="100"/>
                <w:position w:val="0"/>
                <w:lang w:val="en-US" w:eastAsia="zh-CN"/>
              </w:rPr>
              <w:t>日本岛津LA-20A</w:t>
            </w:r>
          </w:p>
        </w:tc>
        <w:tc>
          <w:tcPr>
            <w:tcW w:w="1112" w:type="pct"/>
            <w:tcBorders>
              <w:top w:val="single" w:color="auto" w:sz="4" w:space="0"/>
              <w:lef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美国安捷伦1260</w:t>
            </w:r>
          </w:p>
        </w:tc>
        <w:tc>
          <w:tcPr>
            <w:tcW w:w="969" w:type="pct"/>
            <w:tcBorders>
              <w:top w:val="single" w:color="auto" w:sz="4" w:space="0"/>
              <w:left w:val="single" w:color="auto" w:sz="4" w:space="0"/>
              <w:right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after="0" w:line="240" w:lineRule="auto"/>
              <w:ind w:left="0" w:leftChars="0" w:right="0" w:firstLine="0" w:firstLineChars="0"/>
              <w:jc w:val="center"/>
              <w:textAlignment w:val="auto"/>
              <w:rPr>
                <w:rFonts w:hint="default" w:ascii="黑体" w:hAnsi="黑体" w:eastAsia="黑体" w:cs="黑体"/>
                <w:color w:val="000000"/>
                <w:spacing w:val="0"/>
                <w:w w:val="100"/>
                <w:position w:val="0"/>
                <w:lang w:val="en-US" w:eastAsia="zh-CN"/>
              </w:rPr>
            </w:pPr>
            <w:r>
              <w:rPr>
                <w:rFonts w:hint="eastAsia" w:ascii="黑体" w:hAnsi="黑体" w:eastAsia="黑体" w:cs="黑体"/>
                <w:color w:val="000000"/>
                <w:spacing w:val="0"/>
                <w:w w:val="100"/>
                <w:position w:val="0"/>
                <w:lang w:val="en-US" w:eastAsia="zh-CN"/>
              </w:rPr>
              <w:t>美国Waters 2695</w:t>
            </w:r>
          </w:p>
        </w:tc>
      </w:tr>
      <w:tr>
        <w:tblPrEx>
          <w:tblCellMar>
            <w:top w:w="0" w:type="dxa"/>
            <w:left w:w="10" w:type="dxa"/>
            <w:bottom w:w="0" w:type="dxa"/>
            <w:right w:w="10" w:type="dxa"/>
          </w:tblCellMar>
        </w:tblPrEx>
        <w:trPr>
          <w:trHeight w:val="457" w:hRule="atLeast"/>
        </w:trPr>
        <w:tc>
          <w:tcPr>
            <w:tcW w:w="708" w:type="pct"/>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主要性能</w:t>
            </w:r>
          </w:p>
          <w:p>
            <w:pPr>
              <w:pStyle w:val="6"/>
              <w:keepNext w:val="0"/>
              <w:keepLines w:val="0"/>
              <w:widowControl w:val="0"/>
              <w:shd w:val="clear" w:color="auto" w:fill="auto"/>
              <w:bidi w:val="0"/>
              <w:spacing w:before="0" w:after="0" w:line="324"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指标</w:t>
            </w:r>
          </w:p>
        </w:tc>
        <w:tc>
          <w:tcPr>
            <w:tcW w:w="182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类型</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串联双柱塞</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串联双柱塞</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并联双柱塞</w:t>
            </w:r>
          </w:p>
        </w:tc>
      </w:tr>
      <w:tr>
        <w:tblPrEx>
          <w:tblCellMar>
            <w:top w:w="0" w:type="dxa"/>
            <w:left w:w="10" w:type="dxa"/>
            <w:bottom w:w="0" w:type="dxa"/>
            <w:right w:w="10" w:type="dxa"/>
          </w:tblCellMar>
        </w:tblPrEx>
        <w:trPr>
          <w:trHeight w:val="38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82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最大压力</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40MPa</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42MPa</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40MPa</w:t>
            </w:r>
          </w:p>
        </w:tc>
      </w:tr>
      <w:tr>
        <w:tblPrEx>
          <w:tblCellMar>
            <w:top w:w="0" w:type="dxa"/>
            <w:left w:w="10" w:type="dxa"/>
            <w:bottom w:w="0" w:type="dxa"/>
            <w:right w:w="10" w:type="dxa"/>
          </w:tblCellMar>
        </w:tblPrEx>
        <w:trPr>
          <w:trHeight w:val="402"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82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流速范围</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0.00</w:t>
            </w:r>
            <w: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t>1-</w:t>
            </w: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10.000mL/min</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0.001-100mL/min</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0.00-5mL/min</w:t>
            </w:r>
          </w:p>
        </w:tc>
      </w:tr>
      <w:tr>
        <w:tblPrEx>
          <w:tblCellMar>
            <w:top w:w="0" w:type="dxa"/>
            <w:left w:w="10" w:type="dxa"/>
            <w:bottom w:w="0" w:type="dxa"/>
            <w:right w:w="10" w:type="dxa"/>
          </w:tblCellMar>
        </w:tblPrEx>
        <w:trPr>
          <w:trHeight w:val="66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82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自动进样器交叉污染</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交叉污染：0.0025%</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交叉污染：0.05%</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交叉污染&lt; 0.1%</w:t>
            </w:r>
          </w:p>
        </w:tc>
      </w:tr>
      <w:tr>
        <w:tblPrEx>
          <w:tblCellMar>
            <w:top w:w="0" w:type="dxa"/>
            <w:left w:w="10" w:type="dxa"/>
            <w:bottom w:w="0" w:type="dxa"/>
            <w:right w:w="10" w:type="dxa"/>
          </w:tblCellMar>
        </w:tblPrEx>
        <w:trPr>
          <w:trHeight w:val="39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82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柱温箱控温方式：</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强制空气循环型</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模块加热型</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模块加热型</w:t>
            </w:r>
          </w:p>
        </w:tc>
      </w:tr>
      <w:tr>
        <w:tblPrEx>
          <w:tblCellMar>
            <w:top w:w="0" w:type="dxa"/>
            <w:left w:w="10" w:type="dxa"/>
            <w:bottom w:w="0" w:type="dxa"/>
            <w:right w:w="10" w:type="dxa"/>
          </w:tblCellMar>
        </w:tblPrEx>
        <w:trPr>
          <w:trHeight w:val="352"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82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泵的精度</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0.06%RSD</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0.07%RSD</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CN" w:eastAsia="zh-TW" w:bidi="zh-TW"/>
              </w:rPr>
              <w:t>0.075%RSD</w:t>
            </w:r>
          </w:p>
        </w:tc>
      </w:tr>
      <w:tr>
        <w:tblPrEx>
          <w:tblCellMar>
            <w:top w:w="0" w:type="dxa"/>
            <w:left w:w="10" w:type="dxa"/>
            <w:bottom w:w="0" w:type="dxa"/>
            <w:right w:w="10" w:type="dxa"/>
          </w:tblCellMar>
        </w:tblPrEx>
        <w:trPr>
          <w:trHeight w:val="412" w:hRule="atLeast"/>
        </w:trPr>
        <w:tc>
          <w:tcPr>
            <w:tcW w:w="708" w:type="pct"/>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市场情况</w:t>
            </w:r>
          </w:p>
          <w:p>
            <w:pPr>
              <w:pStyle w:val="6"/>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和价格比</w:t>
            </w:r>
          </w:p>
          <w:p>
            <w:pPr>
              <w:pStyle w:val="6"/>
              <w:keepNext w:val="0"/>
              <w:keepLines w:val="0"/>
              <w:widowControl w:val="0"/>
              <w:shd w:val="clear" w:color="auto" w:fill="auto"/>
              <w:bidi w:val="0"/>
              <w:spacing w:before="0" w:after="0" w:line="313" w:lineRule="exact"/>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较</w:t>
            </w:r>
          </w:p>
        </w:tc>
        <w:tc>
          <w:tcPr>
            <w:tcW w:w="1094" w:type="pc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市场情况</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占有率高</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占有率高</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占有率低</w:t>
            </w:r>
          </w:p>
        </w:tc>
      </w:tr>
      <w:tr>
        <w:tblPrEx>
          <w:tblCellMar>
            <w:top w:w="0" w:type="dxa"/>
            <w:left w:w="10" w:type="dxa"/>
            <w:bottom w:w="0" w:type="dxa"/>
            <w:right w:w="10" w:type="dxa"/>
          </w:tblCellMar>
        </w:tblPrEx>
        <w:trPr>
          <w:trHeight w:val="617" w:hRule="atLeast"/>
        </w:trPr>
        <w:tc>
          <w:tcPr>
            <w:tcW w:w="708" w:type="pct"/>
            <w:vMerge w:val="continue"/>
            <w:tcBorders>
              <w:left w:val="single" w:color="auto" w:sz="4" w:space="0"/>
            </w:tcBorders>
            <w:shd w:val="clear" w:color="auto" w:fill="FFFFFF"/>
            <w:vAlign w:val="center"/>
          </w:tcPr>
          <w:p>
            <w:pPr>
              <w:jc w:val="center"/>
              <w:rPr>
                <w:rFonts w:hint="eastAsia" w:ascii="仿宋_GB2312" w:hAnsi="仿宋_GB2312" w:eastAsia="仿宋_GB2312" w:cs="仿宋_GB2312"/>
              </w:rPr>
            </w:pPr>
          </w:p>
        </w:tc>
        <w:tc>
          <w:tcPr>
            <w:tcW w:w="1094" w:type="pc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价格</w:t>
            </w:r>
          </w:p>
        </w:tc>
        <w:tc>
          <w:tcPr>
            <w:tcW w:w="1857"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性价比高</w:t>
            </w:r>
          </w:p>
        </w:tc>
        <w:tc>
          <w:tcPr>
            <w:tcW w:w="1852" w:type="dxa"/>
            <w:tcBorders>
              <w:top w:val="single" w:color="auto" w:sz="4" w:space="0"/>
              <w:lef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价格高</w:t>
            </w:r>
          </w:p>
        </w:tc>
        <w:tc>
          <w:tcPr>
            <w:tcW w:w="1617" w:type="dxa"/>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价格高，性价比不高</w:t>
            </w:r>
          </w:p>
        </w:tc>
      </w:tr>
      <w:tr>
        <w:tblPrEx>
          <w:tblCellMar>
            <w:top w:w="0" w:type="dxa"/>
            <w:left w:w="10" w:type="dxa"/>
            <w:bottom w:w="0" w:type="dxa"/>
            <w:right w:w="10" w:type="dxa"/>
          </w:tblCellMar>
        </w:tblPrEx>
        <w:trPr>
          <w:trHeight w:val="1281" w:hRule="exact"/>
        </w:trPr>
        <w:tc>
          <w:tcPr>
            <w:tcW w:w="708" w:type="pct"/>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售后服务</w:t>
            </w:r>
          </w:p>
        </w:tc>
        <w:tc>
          <w:tcPr>
            <w:tcW w:w="1094" w:type="pct"/>
            <w:tcBorders>
              <w:top w:val="single" w:color="auto" w:sz="4" w:space="0"/>
              <w:left w:val="single" w:color="auto" w:sz="4" w:space="0"/>
              <w:bottom w:val="single" w:color="auto" w:sz="4" w:space="0"/>
            </w:tcBorders>
            <w:shd w:val="clear" w:color="auto" w:fill="FFFFFF"/>
            <w:vAlign w:val="center"/>
          </w:tcPr>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color w:val="000000"/>
                <w:spacing w:val="0"/>
                <w:w w:val="100"/>
                <w:position w:val="0"/>
              </w:rPr>
            </w:pPr>
            <w:r>
              <w:rPr>
                <w:rFonts w:hint="eastAsia" w:ascii="仿宋_GB2312" w:hAnsi="仿宋_GB2312" w:eastAsia="仿宋_GB2312" w:cs="仿宋_GB2312"/>
                <w:color w:val="000000"/>
                <w:spacing w:val="0"/>
                <w:w w:val="100"/>
                <w:position w:val="0"/>
              </w:rPr>
              <w:t>技术支持及</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240" w:lineRule="exact"/>
              <w:ind w:left="0" w:right="0" w:firstLine="0"/>
              <w:jc w:val="center"/>
              <w:textAlignment w:val="auto"/>
              <w:rPr>
                <w:rFonts w:hint="eastAsia" w:ascii="仿宋_GB2312" w:hAnsi="仿宋_GB2312" w:eastAsia="仿宋_GB2312" w:cs="仿宋_GB2312"/>
              </w:rPr>
            </w:pPr>
            <w:r>
              <w:rPr>
                <w:rFonts w:hint="eastAsia" w:ascii="仿宋_GB2312" w:hAnsi="仿宋_GB2312" w:eastAsia="仿宋_GB2312" w:cs="仿宋_GB2312"/>
                <w:color w:val="000000"/>
                <w:spacing w:val="0"/>
                <w:w w:val="100"/>
                <w:position w:val="0"/>
              </w:rPr>
              <w:t>服务响应</w:t>
            </w:r>
          </w:p>
        </w:tc>
        <w:tc>
          <w:tcPr>
            <w:tcW w:w="1857"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在福州设有售后服务中心，并有六名维修人员，服务及时，技术力量强。</w:t>
            </w:r>
          </w:p>
        </w:tc>
        <w:tc>
          <w:tcPr>
            <w:tcW w:w="1852" w:type="dxa"/>
            <w:tcBorders>
              <w:top w:val="single" w:color="auto" w:sz="4" w:space="0"/>
              <w:left w:val="single" w:color="auto" w:sz="4" w:space="0"/>
              <w:bottom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在福建只有一名售后服务人员</w:t>
            </w:r>
          </w:p>
        </w:tc>
        <w:tc>
          <w:tcPr>
            <w:tcW w:w="16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color w:val="000000"/>
                <w:spacing w:val="0"/>
                <w:w w:val="100"/>
                <w:kern w:val="2"/>
                <w:position w:val="0"/>
                <w:sz w:val="22"/>
                <w:szCs w:val="2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22"/>
                <w:szCs w:val="22"/>
                <w:u w:val="none"/>
                <w:shd w:val="clear" w:color="auto" w:fill="auto"/>
                <w:lang w:val="zh-TW" w:eastAsia="zh-TW" w:bidi="zh-TW"/>
              </w:rPr>
              <w:t>仅有一名维修工程师，福建省内无服务维修点</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四、条件准备情况</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pPr>
      <w:r>
        <w:rPr>
          <w:rFonts w:hint="eastAsia" w:ascii="仿宋_GB2312" w:hAnsi="仿宋_GB2312" w:eastAsia="仿宋_GB2312" w:cs="仿宋_GB2312"/>
          <w:b w:val="0"/>
          <w:bCs w:val="0"/>
          <w:color w:val="000000"/>
          <w:sz w:val="32"/>
          <w:szCs w:val="32"/>
          <w:lang w:val="en-US" w:eastAsia="zh-CN"/>
        </w:rPr>
        <w:t>实验室具备电</w:t>
      </w:r>
      <w:r>
        <w:rPr>
          <w:rFonts w:hint="eastAsia" w:ascii="仿宋_GB2312" w:hAnsi="仿宋_GB2312" w:eastAsia="仿宋_GB2312" w:cs="仿宋_GB2312"/>
          <w:b w:val="0"/>
          <w:bCs w:val="0"/>
          <w:color w:val="000000"/>
          <w:sz w:val="32"/>
          <w:szCs w:val="32"/>
          <w:lang w:val="en-US" w:eastAsia="en-US"/>
        </w:rPr>
        <w:t>（2</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en-US"/>
        </w:rPr>
        <w:t>0V</w:t>
      </w:r>
      <w:r>
        <w:rPr>
          <w:rFonts w:hint="eastAsia" w:ascii="仿宋_GB2312" w:hAnsi="仿宋_GB2312" w:eastAsia="仿宋_GB2312" w:cs="仿宋_GB2312"/>
          <w:b w:val="0"/>
          <w:bCs w:val="0"/>
          <w:color w:val="000000"/>
          <w:sz w:val="32"/>
          <w:szCs w:val="32"/>
          <w:lang w:val="en-US" w:eastAsia="zh-CN"/>
        </w:rPr>
        <w:t xml:space="preserve">单相电源）、通风（排气系统）、实验平台（尺寸大于200 </w:t>
      </w:r>
      <w:r>
        <w:rPr>
          <w:rFonts w:hint="eastAsia" w:ascii="仿宋_GB2312" w:hAnsi="仿宋_GB2312" w:eastAsia="仿宋_GB2312" w:cs="仿宋_GB2312"/>
          <w:b w:val="0"/>
          <w:bCs w:val="0"/>
          <w:color w:val="000000"/>
          <w:sz w:val="32"/>
          <w:szCs w:val="32"/>
          <w:lang w:val="en-US" w:eastAsia="en-US"/>
        </w:rPr>
        <w:t xml:space="preserve">x </w:t>
      </w:r>
      <w:r>
        <w:rPr>
          <w:rFonts w:hint="eastAsia" w:ascii="仿宋_GB2312" w:hAnsi="仿宋_GB2312" w:eastAsia="仿宋_GB2312" w:cs="仿宋_GB2312"/>
          <w:b w:val="0"/>
          <w:bCs w:val="0"/>
          <w:color w:val="000000"/>
          <w:sz w:val="32"/>
          <w:szCs w:val="32"/>
          <w:lang w:val="en-US" w:eastAsia="zh-CN"/>
        </w:rPr>
        <w:t xml:space="preserve">70 </w:t>
      </w:r>
      <w:r>
        <w:rPr>
          <w:rFonts w:hint="eastAsia" w:ascii="仿宋_GB2312" w:hAnsi="仿宋_GB2312" w:eastAsia="仿宋_GB2312" w:cs="仿宋_GB2312"/>
          <w:b w:val="0"/>
          <w:bCs w:val="0"/>
          <w:color w:val="000000"/>
          <w:sz w:val="32"/>
          <w:szCs w:val="32"/>
          <w:lang w:val="en-US" w:eastAsia="en-US"/>
        </w:rPr>
        <w:t xml:space="preserve">cm, </w:t>
      </w:r>
      <w:r>
        <w:rPr>
          <w:rFonts w:hint="eastAsia" w:ascii="仿宋_GB2312" w:hAnsi="仿宋_GB2312" w:eastAsia="仿宋_GB2312" w:cs="仿宋_GB2312"/>
          <w:b w:val="0"/>
          <w:bCs w:val="0"/>
          <w:color w:val="000000"/>
          <w:sz w:val="32"/>
          <w:szCs w:val="32"/>
          <w:lang w:val="en-US" w:eastAsia="zh-CN"/>
        </w:rPr>
        <w:t>可以承70</w:t>
      </w:r>
      <w:r>
        <w:rPr>
          <w:rFonts w:hint="eastAsia" w:ascii="仿宋_GB2312" w:hAnsi="仿宋_GB2312" w:eastAsia="仿宋_GB2312" w:cs="仿宋_GB2312"/>
          <w:b w:val="0"/>
          <w:bCs w:val="0"/>
          <w:color w:val="000000"/>
          <w:sz w:val="32"/>
          <w:szCs w:val="32"/>
          <w:lang w:val="en-US" w:eastAsia="en-US"/>
        </w:rPr>
        <w:t>Kg</w:t>
      </w:r>
      <w:r>
        <w:rPr>
          <w:rFonts w:hint="eastAsia" w:ascii="仿宋_GB2312" w:hAnsi="仿宋_GB2312" w:eastAsia="仿宋_GB2312" w:cs="仿宋_GB2312"/>
          <w:b w:val="0"/>
          <w:bCs w:val="0"/>
          <w:color w:val="000000"/>
          <w:sz w:val="32"/>
          <w:szCs w:val="32"/>
          <w:lang w:val="en-US" w:eastAsia="zh-CN"/>
        </w:rPr>
        <w:t>以上的设备）等安装条件。</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五、可能存在的安全性问题</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640" w:firstLineChars="200"/>
        <w:textAlignment w:val="auto"/>
      </w:pPr>
      <w:r>
        <w:rPr>
          <w:rFonts w:hint="eastAsia" w:ascii="仿宋_GB2312" w:hAnsi="仿宋_GB2312" w:eastAsia="仿宋_GB2312" w:cs="仿宋_GB2312"/>
          <w:b w:val="0"/>
          <w:bCs w:val="0"/>
          <w:color w:val="000000"/>
          <w:sz w:val="32"/>
          <w:szCs w:val="32"/>
          <w:lang w:val="en-US" w:eastAsia="zh-CN"/>
        </w:rPr>
        <w:t>该设备无任何可燃、易爆以及有毒成分，也无须用到任何可燃、易爆以及有毒成分辅助材料，无任何安全隐患。</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EB7E60"/>
    <w:rsid w:val="0B9E27AE"/>
    <w:rsid w:val="0CF462EF"/>
    <w:rsid w:val="0D5339BA"/>
    <w:rsid w:val="1108484D"/>
    <w:rsid w:val="126C3915"/>
    <w:rsid w:val="1E592455"/>
    <w:rsid w:val="23201794"/>
    <w:rsid w:val="2B724B56"/>
    <w:rsid w:val="2DA41A52"/>
    <w:rsid w:val="30C84A8F"/>
    <w:rsid w:val="3522139B"/>
    <w:rsid w:val="40C33A32"/>
    <w:rsid w:val="47947ED7"/>
    <w:rsid w:val="483E65AE"/>
    <w:rsid w:val="4C2A6435"/>
    <w:rsid w:val="7BD5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Other|1"/>
    <w:qFormat/>
    <w:uiPriority w:val="0"/>
    <w:pPr>
      <w:widowControl w:val="0"/>
      <w:shd w:val="clear" w:color="auto" w:fill="auto"/>
      <w:spacing w:after="300" w:line="454" w:lineRule="auto"/>
      <w:ind w:firstLine="400"/>
      <w:jc w:val="both"/>
    </w:pPr>
    <w:rPr>
      <w:rFonts w:ascii="宋体" w:hAnsi="宋体" w:eastAsia="宋体" w:cs="宋体"/>
      <w:kern w:val="2"/>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2021-12-06T09:14:56Z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