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清源创新实验室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气相色谱仪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采购需求概况</w:t>
      </w:r>
    </w:p>
    <w:p>
      <w:pPr>
        <w:numPr>
          <w:numId w:val="0"/>
        </w:numPr>
        <w:ind w:firstLine="600" w:firstLineChars="200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项目概况</w:t>
      </w:r>
    </w:p>
    <w:p>
      <w:pPr>
        <w:widowControl/>
        <w:snapToGrid w:val="0"/>
        <w:spacing w:line="276" w:lineRule="auto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本项目为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气相色谱仪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采购。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利用其有极强的分离能力分离化工品中各类挥发性化合物，该设备主要用于本单位定性、定量分析的科研项目需要，同时该仪器分析又具有多学科交叉性，发展性和前沿性特点，在实验教学中也起到了提高实验教学质量与培养研究生、本科生动手能力的重要作用，能极大满足研究生教学与科研培养的要求，培养广大学生综合知识和创新能力。</w:t>
      </w:r>
    </w:p>
    <w:p>
      <w:pPr>
        <w:numPr>
          <w:ilvl w:val="0"/>
          <w:numId w:val="0"/>
        </w:numPr>
        <w:ind w:firstLine="600" w:firstLineChars="200"/>
        <w:rPr>
          <w:rFonts w:hint="default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二、技术和服务要求</w:t>
      </w:r>
    </w:p>
    <w:p>
      <w:pPr>
        <w:widowControl/>
        <w:snapToGrid w:val="0"/>
        <w:spacing w:line="276" w:lineRule="auto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(一)采购清单</w:t>
      </w:r>
    </w:p>
    <w:tbl>
      <w:tblPr>
        <w:tblStyle w:val="4"/>
        <w:tblW w:w="48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31"/>
        <w:gridCol w:w="708"/>
        <w:gridCol w:w="5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001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采购标的</w:t>
            </w:r>
          </w:p>
        </w:tc>
        <w:tc>
          <w:tcPr>
            <w:tcW w:w="440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单位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数量</w:t>
            </w:r>
          </w:p>
        </w:tc>
        <w:tc>
          <w:tcPr>
            <w:tcW w:w="3131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001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气相色谱仪</w:t>
            </w:r>
          </w:p>
        </w:tc>
        <w:tc>
          <w:tcPr>
            <w:tcW w:w="440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26" w:type="pct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131" w:type="pct"/>
            <w:vAlign w:val="center"/>
          </w:tcPr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气相色谱仪主机一台：带双填充柱进样口(AFC控制)、分流/不分流进样口、TCD检测器</w:t>
            </w:r>
          </w:p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原装正版色谱工作站一套</w:t>
            </w:r>
          </w:p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20位顶空进样器一套</w:t>
            </w:r>
          </w:p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填充柱一根</w:t>
            </w:r>
          </w:p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消耗品包：进样口橡胶隔垫、惰性化处理石英棉3gm、O型圈</w:t>
            </w:r>
          </w:p>
          <w:p>
            <w:pPr>
              <w:widowControl/>
              <w:numPr>
                <w:numId w:val="0"/>
              </w:numPr>
              <w:snapToGrid w:val="0"/>
              <w:spacing w:line="276" w:lineRule="auto"/>
              <w:ind w:leftChars="0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气路净化装置一套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Theme="minorEastAsia" w:hAnsi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  <w:lang w:val="en-US" w:eastAsia="zh-CN"/>
        </w:rPr>
        <w:t>（二）仪器总体要求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1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  <w:lang w:eastAsia="zh-CN"/>
        </w:rPr>
        <w:t>.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气相色谱仪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1.1柱箱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1.1.1柱箱温度：室温以上3℃ ～ 450℃（使用液态CO2时可达-45℃）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1.1.2可设定升温速率：≥220℃/min，支持程序降温（无需升级）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1.1.3冷却速度：从 450 降到 50℃ ≤3.5min（210s）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1.1.4最大运行时间：≥9000分钟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1.2分流/不分流进样口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1.2.1最高使用温度：450℃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1.2.2压力设定范围：0 ～ 1015kPa（相当于0～147psi）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1.2.3压力控制精度：≤0.001psi（0～147psi范围）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1.2.4分流比设定范围：0 ～ 9000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2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  <w:lang w:eastAsia="zh-CN"/>
        </w:rPr>
        <w:t>.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热导检测器（TCD）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  <w:lang w:eastAsia="zh-CN"/>
        </w:rPr>
        <w:t>.</w:t>
      </w: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1最高使用温度：420℃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2.2具有过热保护功能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2.3灵敏度：40000mV.mL/mg (癸烷)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2.4动态范围：105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2.5热导丝：铼-钨丝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2.6惠斯登电桥双灯丝结构，双流路方式，具有参比灯丝，内装预置放大器，10×增幅时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3.其他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3.1具有恒定的载气线速度控制功能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3.2具有室温补偿和自动环境补偿功能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3.3支持填充柱和毛细管柱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4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  <w:lang w:eastAsia="zh-CN"/>
        </w:rPr>
        <w:t>.</w:t>
      </w:r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顶空进样器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4.1样品流路温度：室温+10℃至225℃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4.2传输管线材质：Sulfinert惰化处理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4.3传输管线温度：室温+10℃至225℃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000000"/>
          <w:sz w:val="28"/>
          <w:szCs w:val="28"/>
        </w:rPr>
        <w:t>4.4加热孔数量：6个样品瓶位旋转托盘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="微软雅黑" w:hAnsi="微软雅黑" w:eastAsia="微软雅黑" w:cs="微软雅黑"/>
          <w:color w:val="393939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/>
          <w:b/>
          <w:bCs/>
          <w:color w:val="000000"/>
          <w:sz w:val="28"/>
          <w:szCs w:val="28"/>
          <w:lang w:val="en-US" w:eastAsia="zh-CN"/>
        </w:rPr>
        <w:t>5.</w:t>
      </w:r>
      <w:bookmarkStart w:id="0" w:name="_GoBack"/>
      <w:bookmarkEnd w:id="0"/>
      <w:r>
        <w:rPr>
          <w:rFonts w:hint="eastAsia" w:asciiTheme="minorEastAsia" w:hAnsiTheme="minorEastAsia"/>
          <w:b/>
          <w:bCs/>
          <w:color w:val="000000"/>
          <w:sz w:val="28"/>
          <w:szCs w:val="28"/>
        </w:rPr>
        <w:t>需满足的质量、服务、安全、时限等要求</w:t>
      </w:r>
      <w:r>
        <w:rPr>
          <w:rFonts w:hint="eastAsia" w:ascii="微软雅黑" w:hAnsi="微软雅黑" w:eastAsia="微软雅黑" w:cs="微软雅黑"/>
          <w:b/>
          <w:bCs/>
          <w:color w:val="393939"/>
          <w:sz w:val="28"/>
          <w:szCs w:val="28"/>
          <w:shd w:val="clear" w:color="auto" w:fill="FFFFFF"/>
        </w:rPr>
        <w:t>：</w:t>
      </w:r>
      <w:r>
        <w:rPr>
          <w:rFonts w:hint="eastAsia" w:asciiTheme="minorEastAsia" w:hAnsiTheme="minorEastAsia"/>
          <w:color w:val="000000"/>
          <w:sz w:val="28"/>
          <w:szCs w:val="28"/>
        </w:rPr>
        <w:t>质保期一年，终生维护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126F05"/>
    <w:rsid w:val="0019730E"/>
    <w:rsid w:val="001B634D"/>
    <w:rsid w:val="00202600"/>
    <w:rsid w:val="005E531F"/>
    <w:rsid w:val="007B3795"/>
    <w:rsid w:val="008B692C"/>
    <w:rsid w:val="00B23911"/>
    <w:rsid w:val="00C80374"/>
    <w:rsid w:val="00E031C0"/>
    <w:rsid w:val="00EB7E60"/>
    <w:rsid w:val="046C3066"/>
    <w:rsid w:val="077175DD"/>
    <w:rsid w:val="0CF462EF"/>
    <w:rsid w:val="1A404921"/>
    <w:rsid w:val="1E592455"/>
    <w:rsid w:val="23201794"/>
    <w:rsid w:val="2B724B56"/>
    <w:rsid w:val="30C84A8F"/>
    <w:rsid w:val="3522139B"/>
    <w:rsid w:val="40C33A32"/>
    <w:rsid w:val="47947ED7"/>
    <w:rsid w:val="483E65AE"/>
    <w:rsid w:val="4C2A6435"/>
    <w:rsid w:val="570109B9"/>
    <w:rsid w:val="64850463"/>
    <w:rsid w:val="6FE62605"/>
    <w:rsid w:val="720E2A2C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647</Characters>
  <Lines>5</Lines>
  <Paragraphs>1</Paragraphs>
  <TotalTime>8</TotalTime>
  <ScaleCrop>false</ScaleCrop>
  <LinksUpToDate>false</LinksUpToDate>
  <CharactersWithSpaces>759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2021-12-04T11:06:00Z</dcterms:created>
  <dc:creator>阿融</dc:creator>
  <cp:lastModifiedBy>阿融</cp:lastModifiedBy>
  <dcterms:modified xsi:type="dcterms:W3CDTF">2021-12-06T09:22:34Z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