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393939"/>
          <w:spacing w:val="0"/>
          <w:sz w:val="44"/>
          <w:szCs w:val="44"/>
          <w:shd w:val="clear" w:fill="FFFFFF"/>
        </w:rPr>
      </w:pPr>
      <w:r>
        <w:rPr>
          <w:rFonts w:hint="eastAsia" w:ascii="方正小标宋简体" w:hAnsi="方正小标宋简体" w:eastAsia="方正小标宋简体" w:cs="方正小标宋简体"/>
          <w:b/>
          <w:bCs/>
          <w:color w:val="000000"/>
          <w:sz w:val="44"/>
          <w:szCs w:val="44"/>
          <w:lang w:val="en-US" w:eastAsia="zh-CN"/>
        </w:rPr>
        <w:t>清源</w:t>
      </w:r>
      <w:r>
        <w:rPr>
          <w:rFonts w:hint="eastAsia" w:ascii="方正小标宋简体" w:hAnsi="方正小标宋简体" w:eastAsia="方正小标宋简体" w:cs="方正小标宋简体"/>
          <w:b/>
          <w:bCs/>
          <w:color w:val="000000"/>
          <w:sz w:val="44"/>
          <w:szCs w:val="44"/>
        </w:rPr>
        <w:t>创新实验室</w:t>
      </w:r>
      <w:r>
        <w:rPr>
          <w:rFonts w:hint="eastAsia" w:ascii="方正小标宋简体" w:hAnsi="方正小标宋简体" w:eastAsia="方正小标宋简体" w:cs="方正小标宋简体"/>
          <w:b/>
          <w:bCs/>
          <w:color w:val="000000"/>
          <w:sz w:val="44"/>
          <w:szCs w:val="44"/>
          <w:lang w:val="en-US" w:eastAsia="zh-CN"/>
        </w:rPr>
        <w:t>气相色谱仪</w:t>
      </w:r>
      <w:r>
        <w:rPr>
          <w:rFonts w:hint="eastAsia" w:ascii="方正小标宋简体" w:hAnsi="方正小标宋简体" w:eastAsia="方正小标宋简体" w:cs="方正小标宋简体"/>
          <w:b/>
          <w:bCs/>
          <w:color w:val="000000"/>
          <w:sz w:val="44"/>
          <w:szCs w:val="44"/>
        </w:rPr>
        <w:t>采购需求概况</w:t>
      </w:r>
    </w:p>
    <w:p>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一、仪器设备使用的项目</w:t>
      </w:r>
    </w:p>
    <w:p>
      <w:pPr>
        <w:keepNext w:val="0"/>
        <w:keepLines w:val="0"/>
        <w:pageBreakBefore w:val="0"/>
        <w:widowControl w:val="0"/>
        <w:numPr>
          <w:ilvl w:val="0"/>
          <w:numId w:val="0"/>
        </w:numPr>
        <w:kinsoku/>
        <w:wordWrap/>
        <w:overflowPunct/>
        <w:topLinePunct w:val="0"/>
        <w:autoSpaceDE/>
        <w:autoSpaceDN/>
        <w:bidi w:val="0"/>
        <w:adjustRightInd/>
        <w:spacing w:line="4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气相</w:t>
      </w:r>
      <w:r>
        <w:rPr>
          <w:rFonts w:hint="eastAsia" w:ascii="仿宋_GB2312" w:hAnsi="仿宋_GB2312" w:eastAsia="仿宋_GB2312" w:cs="仿宋_GB2312"/>
          <w:b w:val="0"/>
          <w:bCs w:val="0"/>
          <w:color w:val="000000"/>
          <w:sz w:val="32"/>
          <w:szCs w:val="32"/>
          <w:lang w:val="en-US" w:eastAsia="zh-CN"/>
        </w:rPr>
        <w:fldChar w:fldCharType="begin"/>
      </w:r>
      <w:r>
        <w:rPr>
          <w:rFonts w:hint="eastAsia" w:ascii="仿宋_GB2312" w:hAnsi="仿宋_GB2312" w:eastAsia="仿宋_GB2312" w:cs="仿宋_GB2312"/>
          <w:b w:val="0"/>
          <w:bCs w:val="0"/>
          <w:color w:val="000000"/>
          <w:sz w:val="32"/>
          <w:szCs w:val="32"/>
          <w:lang w:val="en-US" w:eastAsia="zh-CN"/>
        </w:rPr>
        <w:instrText xml:space="preserve"> HYPERLINK "http://baike.haosou.com/doc/5579765.html" \t "_blank" </w:instrText>
      </w:r>
      <w:r>
        <w:rPr>
          <w:rFonts w:hint="eastAsia" w:ascii="仿宋_GB2312" w:hAnsi="仿宋_GB2312" w:eastAsia="仿宋_GB2312" w:cs="仿宋_GB2312"/>
          <w:b w:val="0"/>
          <w:bCs w:val="0"/>
          <w:color w:val="000000"/>
          <w:sz w:val="32"/>
          <w:szCs w:val="32"/>
          <w:lang w:val="en-US" w:eastAsia="zh-CN"/>
        </w:rPr>
        <w:fldChar w:fldCharType="separate"/>
      </w:r>
      <w:r>
        <w:rPr>
          <w:rFonts w:hint="eastAsia" w:ascii="仿宋_GB2312" w:hAnsi="仿宋_GB2312" w:eastAsia="仿宋_GB2312" w:cs="仿宋_GB2312"/>
          <w:b w:val="0"/>
          <w:bCs w:val="0"/>
          <w:color w:val="000000"/>
          <w:sz w:val="32"/>
          <w:szCs w:val="32"/>
          <w:lang w:val="en-US" w:eastAsia="zh-CN"/>
        </w:rPr>
        <w:t>色谱法</w:t>
      </w:r>
      <w:r>
        <w:rPr>
          <w:rFonts w:hint="eastAsia" w:ascii="仿宋_GB2312" w:hAnsi="仿宋_GB2312" w:eastAsia="仿宋_GB2312" w:cs="仿宋_GB2312"/>
          <w:b w:val="0"/>
          <w:bCs w:val="0"/>
          <w:color w:val="000000"/>
          <w:sz w:val="32"/>
          <w:szCs w:val="32"/>
          <w:lang w:val="en-US" w:eastAsia="zh-CN"/>
        </w:rPr>
        <w:fldChar w:fldCharType="end"/>
      </w:r>
      <w:r>
        <w:rPr>
          <w:rFonts w:hint="eastAsia" w:ascii="仿宋_GB2312" w:hAnsi="仿宋_GB2312" w:eastAsia="仿宋_GB2312" w:cs="仿宋_GB2312"/>
          <w:b w:val="0"/>
          <w:bCs w:val="0"/>
          <w:color w:val="000000"/>
          <w:sz w:val="32"/>
          <w:szCs w:val="32"/>
          <w:lang w:val="en-US" w:eastAsia="zh-CN"/>
        </w:rPr>
        <w:t>是对有机化合物是一种有效的分离</w:t>
      </w:r>
      <w:r>
        <w:rPr>
          <w:rFonts w:hint="eastAsia" w:ascii="仿宋_GB2312" w:hAnsi="仿宋_GB2312" w:eastAsia="仿宋_GB2312" w:cs="仿宋_GB2312"/>
          <w:b w:val="0"/>
          <w:bCs w:val="0"/>
          <w:color w:val="000000"/>
          <w:sz w:val="32"/>
          <w:szCs w:val="32"/>
          <w:lang w:val="en-US" w:eastAsia="zh-CN"/>
        </w:rPr>
        <w:fldChar w:fldCharType="begin"/>
      </w:r>
      <w:r>
        <w:rPr>
          <w:rFonts w:hint="eastAsia" w:ascii="仿宋_GB2312" w:hAnsi="仿宋_GB2312" w:eastAsia="仿宋_GB2312" w:cs="仿宋_GB2312"/>
          <w:b w:val="0"/>
          <w:bCs w:val="0"/>
          <w:color w:val="000000"/>
          <w:sz w:val="32"/>
          <w:szCs w:val="32"/>
          <w:lang w:val="en-US" w:eastAsia="zh-CN"/>
        </w:rPr>
        <w:instrText xml:space="preserve"> HYPERLINK "http://baike.haosou.com/doc/4412067.html" \t "_blank" </w:instrText>
      </w:r>
      <w:r>
        <w:rPr>
          <w:rFonts w:hint="eastAsia" w:ascii="仿宋_GB2312" w:hAnsi="仿宋_GB2312" w:eastAsia="仿宋_GB2312" w:cs="仿宋_GB2312"/>
          <w:b w:val="0"/>
          <w:bCs w:val="0"/>
          <w:color w:val="000000"/>
          <w:sz w:val="32"/>
          <w:szCs w:val="32"/>
          <w:lang w:val="en-US" w:eastAsia="zh-CN"/>
        </w:rPr>
        <w:fldChar w:fldCharType="separate"/>
      </w:r>
      <w:r>
        <w:rPr>
          <w:rFonts w:hint="eastAsia" w:ascii="仿宋_GB2312" w:hAnsi="仿宋_GB2312" w:eastAsia="仿宋_GB2312" w:cs="仿宋_GB2312"/>
          <w:b w:val="0"/>
          <w:bCs w:val="0"/>
          <w:color w:val="000000"/>
          <w:sz w:val="32"/>
          <w:szCs w:val="32"/>
          <w:lang w:val="en-US" w:eastAsia="zh-CN"/>
        </w:rPr>
        <w:t>分析方法</w:t>
      </w:r>
      <w:r>
        <w:rPr>
          <w:rFonts w:hint="eastAsia" w:ascii="仿宋_GB2312" w:hAnsi="仿宋_GB2312" w:eastAsia="仿宋_GB2312" w:cs="仿宋_GB2312"/>
          <w:b w:val="0"/>
          <w:bCs w:val="0"/>
          <w:color w:val="000000"/>
          <w:sz w:val="32"/>
          <w:szCs w:val="32"/>
          <w:lang w:val="en-US" w:eastAsia="zh-CN"/>
        </w:rPr>
        <w:fldChar w:fldCharType="end"/>
      </w:r>
      <w:r>
        <w:rPr>
          <w:rFonts w:hint="eastAsia" w:ascii="仿宋_GB2312" w:hAnsi="仿宋_GB2312" w:eastAsia="仿宋_GB2312" w:cs="仿宋_GB2312"/>
          <w:b w:val="0"/>
          <w:bCs w:val="0"/>
          <w:color w:val="000000"/>
          <w:sz w:val="32"/>
          <w:szCs w:val="32"/>
          <w:lang w:val="en-US" w:eastAsia="zh-CN"/>
        </w:rPr>
        <w:t xml:space="preserve">，特别适合于进行有机化合物的定量分析，被广泛应用于复杂组分的分离与鉴定。能为本项目精细化工工艺多组分杂质中污染物的分析提供有效的定性、定量工具。 </w:t>
      </w:r>
    </w:p>
    <w:p>
      <w:pPr>
        <w:keepNext w:val="0"/>
        <w:keepLines w:val="0"/>
        <w:pageBreakBefore w:val="0"/>
        <w:widowControl w:val="0"/>
        <w:numPr>
          <w:ilvl w:val="0"/>
          <w:numId w:val="0"/>
        </w:numPr>
        <w:kinsoku/>
        <w:wordWrap/>
        <w:overflowPunct/>
        <w:topLinePunct w:val="0"/>
        <w:autoSpaceDE/>
        <w:autoSpaceDN/>
        <w:bidi w:val="0"/>
        <w:adjustRightInd/>
        <w:spacing w:line="4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随着科学技术的发展和环境学科教学领域拓展的需要，我课题组精细化工工艺多组分杂质分析学科担负着大量科研分析工作和为企业担负技术顾问的需要以及本科生、研究生培养教育，学院平台目前配备的设备已经不能满足我课题组精细化工工艺多组分杂质分析学科现有开展科研和教学工作的需要，严重影响我课题组的人才培养（本科生与研究生课程教学）和科研工作，制约学科的建设与发展。鉴于上述情况，为了更好地保证教学、科研工作的顺利完成，经过学院相关教师的多轮认真讨论，一致认为，气相色谱仪是我课题组目前需求迫切、发挥效益较大的分析检测仪器，所以我课题组申请尽快购置一台服务于综合实验平台分析测试为主、性能指标能够满足常规科研和教学需要、灵敏度高、性价比高、性能稳定可靠的进口品牌的气相色谱仪。</w:t>
      </w:r>
    </w:p>
    <w:p>
      <w:pPr>
        <w:keepNext w:val="0"/>
        <w:keepLines w:val="0"/>
        <w:pageBreakBefore w:val="0"/>
        <w:widowControl w:val="0"/>
        <w:numPr>
          <w:ilvl w:val="0"/>
          <w:numId w:val="1"/>
        </w:numPr>
        <w:kinsoku/>
        <w:wordWrap/>
        <w:overflowPunct/>
        <w:topLinePunct w:val="0"/>
        <w:autoSpaceDE/>
        <w:autoSpaceDN/>
        <w:bidi w:val="0"/>
        <w:adjustRightInd/>
        <w:spacing w:line="420" w:lineRule="exact"/>
        <w:ind w:left="-10" w:leftChars="0" w:firstLine="640" w:firstLineChars="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在该项目中所承担的任务</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气相色谱仪具有GC的高分辨率高灵敏度特点，被广泛应用于复杂组分的分离与鉴定，能大大丰富本科教学内容和提高基础科研的质量。利用其有极强的分离能力分离化工品中各类挥发性化合物，该设备主要用于本单位定性、定量分析的科研项目需要，同时该仪器分析又具有多学科交叉性，发展性和前沿性特点，在实验教学中也起到了提高实验教学质量与培养研究生、本科生动手能力的重要作用，相比其他传统分析仪器，它具有高速准确，灵敏度高、分辨率高，可反复使用的优点，已经成为科学实验中不可缺少的重要仪器，能极大满足研究生教学与科研培养的要求，培养广大学生综合知识和创新能力。</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10" w:leftChars="0" w:firstLine="640" w:firstLineChars="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国内外同类项目所用的仪器设备及优缺点对比</w:t>
      </w:r>
    </w:p>
    <w:tbl>
      <w:tblPr>
        <w:tblStyle w:val="2"/>
        <w:tblW w:w="5000" w:type="pct"/>
        <w:tblInd w:w="0" w:type="dxa"/>
        <w:tblLayout w:type="autofit"/>
        <w:tblCellMar>
          <w:top w:w="0" w:type="dxa"/>
          <w:left w:w="10" w:type="dxa"/>
          <w:bottom w:w="0" w:type="dxa"/>
          <w:right w:w="10" w:type="dxa"/>
        </w:tblCellMar>
      </w:tblPr>
      <w:tblGrid>
        <w:gridCol w:w="1174"/>
        <w:gridCol w:w="2007"/>
        <w:gridCol w:w="1800"/>
        <w:gridCol w:w="1718"/>
        <w:gridCol w:w="1627"/>
      </w:tblGrid>
      <w:tr>
        <w:tblPrEx>
          <w:tblCellMar>
            <w:top w:w="0" w:type="dxa"/>
            <w:left w:w="10" w:type="dxa"/>
            <w:bottom w:w="0" w:type="dxa"/>
            <w:right w:w="10" w:type="dxa"/>
          </w:tblCellMar>
        </w:tblPrEx>
        <w:trPr>
          <w:trHeight w:val="341" w:hRule="exact"/>
        </w:trPr>
        <w:tc>
          <w:tcPr>
            <w:tcW w:w="7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名称</w:t>
            </w:r>
          </w:p>
        </w:tc>
        <w:tc>
          <w:tcPr>
            <w:tcW w:w="12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型号</w:t>
            </w:r>
          </w:p>
        </w:tc>
        <w:tc>
          <w:tcPr>
            <w:tcW w:w="108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制造公司</w:t>
            </w:r>
          </w:p>
        </w:tc>
        <w:tc>
          <w:tcPr>
            <w:tcW w:w="103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使用单位</w:t>
            </w:r>
          </w:p>
        </w:tc>
        <w:tc>
          <w:tcPr>
            <w:tcW w:w="97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购置时间</w:t>
            </w:r>
          </w:p>
        </w:tc>
      </w:tr>
      <w:tr>
        <w:tblPrEx>
          <w:tblCellMar>
            <w:top w:w="0" w:type="dxa"/>
            <w:left w:w="10" w:type="dxa"/>
            <w:bottom w:w="0" w:type="dxa"/>
            <w:right w:w="10" w:type="dxa"/>
          </w:tblCellMar>
        </w:tblPrEx>
        <w:trPr>
          <w:trHeight w:val="282" w:hRule="exact"/>
        </w:trPr>
        <w:tc>
          <w:tcPr>
            <w:tcW w:w="705" w:type="pct"/>
            <w:vMerge w:val="restart"/>
            <w:tcBorders>
              <w:top w:val="single" w:color="auto" w:sz="4" w:space="0"/>
              <w:left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气相色谱仪</w:t>
            </w:r>
          </w:p>
        </w:tc>
        <w:tc>
          <w:tcPr>
            <w:tcW w:w="12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GC-2014</w:t>
            </w:r>
          </w:p>
        </w:tc>
        <w:tc>
          <w:tcPr>
            <w:tcW w:w="108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日本岛津</w:t>
            </w:r>
          </w:p>
        </w:tc>
        <w:tc>
          <w:tcPr>
            <w:tcW w:w="103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福州大学</w:t>
            </w:r>
          </w:p>
        </w:tc>
        <w:tc>
          <w:tcPr>
            <w:tcW w:w="97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2013</w:t>
            </w:r>
          </w:p>
        </w:tc>
      </w:tr>
      <w:tr>
        <w:tblPrEx>
          <w:tblCellMar>
            <w:top w:w="0" w:type="dxa"/>
            <w:left w:w="10" w:type="dxa"/>
            <w:bottom w:w="0" w:type="dxa"/>
            <w:right w:w="10" w:type="dxa"/>
          </w:tblCellMar>
        </w:tblPrEx>
        <w:trPr>
          <w:trHeight w:val="310" w:hRule="exact"/>
        </w:trPr>
        <w:tc>
          <w:tcPr>
            <w:tcW w:w="705" w:type="pct"/>
            <w:vMerge w:val="continue"/>
            <w:tcBorders>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p>
        </w:tc>
        <w:tc>
          <w:tcPr>
            <w:tcW w:w="12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8860</w:t>
            </w:r>
          </w:p>
        </w:tc>
        <w:tc>
          <w:tcPr>
            <w:tcW w:w="108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美国安捷伦</w:t>
            </w:r>
          </w:p>
        </w:tc>
        <w:tc>
          <w:tcPr>
            <w:tcW w:w="103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福州大学</w:t>
            </w:r>
          </w:p>
        </w:tc>
        <w:tc>
          <w:tcPr>
            <w:tcW w:w="97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2011</w:t>
            </w:r>
          </w:p>
        </w:tc>
      </w:tr>
      <w:tr>
        <w:tblPrEx>
          <w:tblCellMar>
            <w:top w:w="0" w:type="dxa"/>
            <w:left w:w="10" w:type="dxa"/>
            <w:bottom w:w="0" w:type="dxa"/>
            <w:right w:w="10" w:type="dxa"/>
          </w:tblCellMar>
        </w:tblPrEx>
        <w:trPr>
          <w:trHeight w:val="339" w:hRule="exact"/>
        </w:trPr>
        <w:tc>
          <w:tcPr>
            <w:tcW w:w="705" w:type="pct"/>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p>
        </w:tc>
        <w:tc>
          <w:tcPr>
            <w:tcW w:w="12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TRACE 1300</w:t>
            </w:r>
          </w:p>
        </w:tc>
        <w:tc>
          <w:tcPr>
            <w:tcW w:w="108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美国赛默飞</w:t>
            </w:r>
          </w:p>
        </w:tc>
        <w:tc>
          <w:tcPr>
            <w:tcW w:w="103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福州大学</w:t>
            </w:r>
          </w:p>
        </w:tc>
        <w:tc>
          <w:tcPr>
            <w:tcW w:w="97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2017</w:t>
            </w:r>
          </w:p>
        </w:tc>
      </w:tr>
      <w:tr>
        <w:tblPrEx>
          <w:tblCellMar>
            <w:top w:w="0" w:type="dxa"/>
            <w:left w:w="10" w:type="dxa"/>
            <w:bottom w:w="0" w:type="dxa"/>
            <w:right w:w="10" w:type="dxa"/>
          </w:tblCellMar>
        </w:tblPrEx>
        <w:trPr>
          <w:trHeight w:val="401" w:hRule="exact"/>
        </w:trPr>
        <w:tc>
          <w:tcPr>
            <w:tcW w:w="5000"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10"/>
                <w:szCs w:val="10"/>
              </w:rPr>
            </w:pPr>
            <w:r>
              <w:rPr>
                <w:rFonts w:hint="eastAsia" w:ascii="黑体" w:hAnsi="黑体" w:eastAsia="黑体" w:cs="黑体"/>
                <w:color w:val="000000"/>
                <w:spacing w:val="0"/>
                <w:w w:val="100"/>
                <w:position w:val="0"/>
              </w:rPr>
              <w:t>优缺点对比</w:t>
            </w:r>
          </w:p>
        </w:tc>
      </w:tr>
      <w:tr>
        <w:tblPrEx>
          <w:tblCellMar>
            <w:top w:w="0" w:type="dxa"/>
            <w:left w:w="10" w:type="dxa"/>
            <w:bottom w:w="0" w:type="dxa"/>
            <w:right w:w="10" w:type="dxa"/>
          </w:tblCellMar>
        </w:tblPrEx>
        <w:trPr>
          <w:trHeight w:val="390" w:hRule="exact"/>
        </w:trPr>
        <w:tc>
          <w:tcPr>
            <w:tcW w:w="7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品牌</w:t>
            </w:r>
          </w:p>
        </w:tc>
        <w:tc>
          <w:tcPr>
            <w:tcW w:w="228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优点</w:t>
            </w:r>
          </w:p>
        </w:tc>
        <w:tc>
          <w:tcPr>
            <w:tcW w:w="200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right="0"/>
              <w:jc w:val="center"/>
              <w:textAlignment w:val="auto"/>
              <w:rPr>
                <w:rFonts w:hint="eastAsia" w:ascii="黑体" w:hAnsi="黑体" w:eastAsia="黑体" w:cs="黑体"/>
              </w:rPr>
            </w:pPr>
            <w:r>
              <w:rPr>
                <w:rFonts w:hint="eastAsia" w:ascii="黑体" w:hAnsi="黑体" w:eastAsia="黑体" w:cs="黑体"/>
                <w:color w:val="000000"/>
                <w:spacing w:val="0"/>
                <w:w w:val="100"/>
                <w:position w:val="0"/>
              </w:rPr>
              <w:t>缺点</w:t>
            </w:r>
          </w:p>
        </w:tc>
      </w:tr>
      <w:tr>
        <w:tblPrEx>
          <w:tblCellMar>
            <w:top w:w="0" w:type="dxa"/>
            <w:left w:w="10" w:type="dxa"/>
            <w:bottom w:w="0" w:type="dxa"/>
            <w:right w:w="10" w:type="dxa"/>
          </w:tblCellMar>
        </w:tblPrEx>
        <w:trPr>
          <w:trHeight w:val="347" w:hRule="exact"/>
        </w:trPr>
        <w:tc>
          <w:tcPr>
            <w:tcW w:w="7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日本岛津</w:t>
            </w:r>
          </w:p>
        </w:tc>
        <w:tc>
          <w:tcPr>
            <w:tcW w:w="228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温度准确度</w:t>
            </w: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0.01℃</w:t>
            </w:r>
            <w:r>
              <w:rPr>
                <w:rFonts w:hint="eastAsia" w:ascii="仿宋_GB2312" w:hAnsi="仿宋_GB2312" w:eastAsia="仿宋_GB2312" w:cs="仿宋_GB2312"/>
                <w:color w:val="000000"/>
                <w:spacing w:val="0"/>
                <w:w w:val="100"/>
                <w:position w:val="0"/>
                <w:lang w:eastAsia="zh-CN"/>
              </w:rPr>
              <w:t>，</w:t>
            </w:r>
            <w:r>
              <w:rPr>
                <w:rFonts w:hint="eastAsia" w:ascii="仿宋_GB2312" w:hAnsi="仿宋_GB2312" w:eastAsia="仿宋_GB2312" w:cs="仿宋_GB2312"/>
                <w:color w:val="000000"/>
                <w:spacing w:val="0"/>
                <w:w w:val="100"/>
                <w:position w:val="0"/>
              </w:rPr>
              <w:t>非常适合研发</w:t>
            </w:r>
          </w:p>
        </w:tc>
        <w:tc>
          <w:tcPr>
            <w:tcW w:w="200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无</w:t>
            </w:r>
          </w:p>
        </w:tc>
      </w:tr>
      <w:tr>
        <w:tblPrEx>
          <w:tblCellMar>
            <w:top w:w="0" w:type="dxa"/>
            <w:left w:w="10" w:type="dxa"/>
            <w:bottom w:w="0" w:type="dxa"/>
            <w:right w:w="10" w:type="dxa"/>
          </w:tblCellMar>
        </w:tblPrEx>
        <w:trPr>
          <w:trHeight w:val="342" w:hRule="exact"/>
        </w:trPr>
        <w:tc>
          <w:tcPr>
            <w:tcW w:w="7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美国安捷伦</w:t>
            </w:r>
          </w:p>
        </w:tc>
        <w:tc>
          <w:tcPr>
            <w:tcW w:w="228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lang w:val="en-US" w:eastAsia="zh-CN"/>
              </w:rPr>
              <w:t>温度准确度</w:t>
            </w: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0.1℃</w:t>
            </w:r>
          </w:p>
        </w:tc>
        <w:tc>
          <w:tcPr>
            <w:tcW w:w="200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不适合</w:t>
            </w:r>
            <w:r>
              <w:rPr>
                <w:rFonts w:hint="eastAsia" w:ascii="仿宋_GB2312" w:hAnsi="仿宋_GB2312" w:eastAsia="仿宋_GB2312" w:cs="仿宋_GB2312"/>
                <w:color w:val="000000"/>
                <w:spacing w:val="0"/>
                <w:w w:val="100"/>
                <w:position w:val="0"/>
                <w:lang w:val="en-US" w:eastAsia="zh-CN"/>
              </w:rPr>
              <w:t>需精准控温</w:t>
            </w:r>
            <w:r>
              <w:rPr>
                <w:rFonts w:hint="eastAsia" w:ascii="仿宋_GB2312" w:hAnsi="仿宋_GB2312" w:eastAsia="仿宋_GB2312" w:cs="仿宋_GB2312"/>
                <w:color w:val="000000"/>
                <w:spacing w:val="0"/>
                <w:w w:val="100"/>
                <w:position w:val="0"/>
              </w:rPr>
              <w:t>的样品</w:t>
            </w:r>
          </w:p>
        </w:tc>
      </w:tr>
      <w:tr>
        <w:tblPrEx>
          <w:tblCellMar>
            <w:top w:w="0" w:type="dxa"/>
            <w:left w:w="10" w:type="dxa"/>
            <w:bottom w:w="0" w:type="dxa"/>
            <w:right w:w="10" w:type="dxa"/>
          </w:tblCellMar>
        </w:tblPrEx>
        <w:trPr>
          <w:trHeight w:val="389" w:hRule="exact"/>
        </w:trPr>
        <w:tc>
          <w:tcPr>
            <w:tcW w:w="70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美国赛默飞</w:t>
            </w:r>
          </w:p>
        </w:tc>
        <w:tc>
          <w:tcPr>
            <w:tcW w:w="228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lang w:val="en-US" w:eastAsia="zh-CN"/>
              </w:rPr>
              <w:t>温度准确度0.1℃</w:t>
            </w:r>
          </w:p>
        </w:tc>
        <w:tc>
          <w:tcPr>
            <w:tcW w:w="200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不适合</w:t>
            </w:r>
            <w:r>
              <w:rPr>
                <w:rFonts w:hint="eastAsia" w:ascii="仿宋_GB2312" w:hAnsi="仿宋_GB2312" w:eastAsia="仿宋_GB2312" w:cs="仿宋_GB2312"/>
                <w:color w:val="000000"/>
                <w:spacing w:val="0"/>
                <w:w w:val="100"/>
                <w:position w:val="0"/>
                <w:lang w:val="en-US" w:eastAsia="zh-CN"/>
              </w:rPr>
              <w:t>需精准控温</w:t>
            </w:r>
            <w:r>
              <w:rPr>
                <w:rFonts w:hint="eastAsia" w:ascii="仿宋_GB2312" w:hAnsi="仿宋_GB2312" w:eastAsia="仿宋_GB2312" w:cs="仿宋_GB2312"/>
                <w:color w:val="000000"/>
                <w:spacing w:val="0"/>
                <w:w w:val="100"/>
                <w:position w:val="0"/>
              </w:rPr>
              <w:t>的样品</w:t>
            </w:r>
          </w:p>
        </w:tc>
      </w:tr>
      <w:tr>
        <w:tblPrEx>
          <w:tblCellMar>
            <w:top w:w="0" w:type="dxa"/>
            <w:left w:w="10" w:type="dxa"/>
            <w:bottom w:w="0" w:type="dxa"/>
            <w:right w:w="10" w:type="dxa"/>
          </w:tblCellMar>
        </w:tblPrEx>
        <w:trPr>
          <w:trHeight w:val="380" w:hRule="exact"/>
        </w:trPr>
        <w:tc>
          <w:tcPr>
            <w:tcW w:w="5000" w:type="pct"/>
            <w:gridSpan w:val="5"/>
            <w:tcBorders>
              <w:top w:val="single" w:color="auto" w:sz="4" w:space="0"/>
              <w:left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同类项目所用仪器设备的优缺点（提供不少于三家制造公司的仪器设备）</w:t>
            </w:r>
          </w:p>
        </w:tc>
      </w:tr>
      <w:tr>
        <w:tblPrEx>
          <w:tblCellMar>
            <w:top w:w="0" w:type="dxa"/>
            <w:left w:w="10" w:type="dxa"/>
            <w:bottom w:w="0" w:type="dxa"/>
            <w:right w:w="10" w:type="dxa"/>
          </w:tblCellMar>
        </w:tblPrEx>
        <w:trPr>
          <w:trHeight w:val="508" w:hRule="exact"/>
        </w:trPr>
        <w:tc>
          <w:tcPr>
            <w:tcW w:w="705" w:type="pc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类别</w:t>
            </w:r>
          </w:p>
        </w:tc>
        <w:tc>
          <w:tcPr>
            <w:tcW w:w="1205" w:type="pc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项目</w:t>
            </w:r>
          </w:p>
        </w:tc>
        <w:tc>
          <w:tcPr>
            <w:tcW w:w="1080" w:type="pc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lang w:eastAsia="zh-CN"/>
              </w:rPr>
            </w:pPr>
            <w:r>
              <w:rPr>
                <w:rFonts w:hint="eastAsia" w:ascii="黑体" w:hAnsi="黑体" w:eastAsia="黑体" w:cs="黑体"/>
                <w:color w:val="000000"/>
                <w:spacing w:val="0"/>
                <w:w w:val="100"/>
                <w:position w:val="0"/>
                <w:lang w:val="en-US" w:eastAsia="zh-CN"/>
              </w:rPr>
              <w:t>日本岛津</w:t>
            </w:r>
            <w:r>
              <w:rPr>
                <w:rFonts w:hint="eastAsia" w:ascii="仿宋_GB2312" w:hAnsi="仿宋_GB2312" w:eastAsia="仿宋_GB2312" w:cs="仿宋_GB2312"/>
                <w:color w:val="000000"/>
                <w:spacing w:val="0"/>
                <w:w w:val="100"/>
                <w:position w:val="0"/>
              </w:rPr>
              <w:t>GC-2014</w:t>
            </w:r>
          </w:p>
        </w:tc>
        <w:tc>
          <w:tcPr>
            <w:tcW w:w="1032" w:type="pc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default"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美国安捷伦</w:t>
            </w:r>
            <w:r>
              <w:rPr>
                <w:rFonts w:hint="eastAsia" w:ascii="黑体" w:hAnsi="黑体" w:eastAsia="黑体" w:cs="黑体"/>
                <w:color w:val="000000"/>
                <w:spacing w:val="0"/>
                <w:w w:val="100"/>
                <w:position w:val="0"/>
              </w:rPr>
              <w:t>8860</w:t>
            </w:r>
          </w:p>
        </w:tc>
        <w:tc>
          <w:tcPr>
            <w:tcW w:w="975" w:type="pct"/>
            <w:tcBorders>
              <w:top w:val="single" w:color="auto" w:sz="4" w:space="0"/>
              <w:left w:val="single" w:color="auto" w:sz="4" w:space="0"/>
              <w:righ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exact"/>
              <w:ind w:left="0" w:leftChars="0" w:right="0" w:firstLine="0" w:firstLineChars="0"/>
              <w:jc w:val="center"/>
              <w:textAlignment w:val="auto"/>
              <w:rPr>
                <w:rFonts w:hint="default"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美国赛默飞</w:t>
            </w:r>
            <w:r>
              <w:rPr>
                <w:rFonts w:hint="eastAsia" w:ascii="黑体" w:hAnsi="黑体" w:eastAsia="黑体" w:cs="黑体"/>
                <w:color w:val="000000"/>
                <w:spacing w:val="0"/>
                <w:w w:val="100"/>
                <w:position w:val="0"/>
              </w:rPr>
              <w:t>TRACE 1300</w:t>
            </w:r>
          </w:p>
        </w:tc>
      </w:tr>
      <w:tr>
        <w:tblPrEx>
          <w:tblCellMar>
            <w:top w:w="0" w:type="dxa"/>
            <w:left w:w="10" w:type="dxa"/>
            <w:bottom w:w="0" w:type="dxa"/>
            <w:right w:w="10" w:type="dxa"/>
          </w:tblCellMar>
        </w:tblPrEx>
        <w:trPr>
          <w:trHeight w:val="562" w:hRule="atLeast"/>
        </w:trPr>
        <w:tc>
          <w:tcPr>
            <w:tcW w:w="705" w:type="pct"/>
            <w:vMerge w:val="restart"/>
            <w:tcBorders>
              <w:top w:val="single" w:color="auto" w:sz="4" w:space="0"/>
              <w:left w:val="single" w:color="auto" w:sz="4" w:space="0"/>
            </w:tcBorders>
            <w:shd w:val="clear" w:color="auto" w:fill="FFFFFF"/>
            <w:vAlign w:val="center"/>
          </w:tcPr>
          <w:p>
            <w:pPr>
              <w:pStyle w:val="4"/>
              <w:keepNext w:val="0"/>
              <w:keepLines w:val="0"/>
              <w:widowControl w:val="0"/>
              <w:shd w:val="clear" w:color="auto" w:fill="auto"/>
              <w:bidi w:val="0"/>
              <w:spacing w:before="0" w:after="0" w:line="324"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主要性能</w:t>
            </w:r>
          </w:p>
          <w:p>
            <w:pPr>
              <w:pStyle w:val="4"/>
              <w:keepNext w:val="0"/>
              <w:keepLines w:val="0"/>
              <w:widowControl w:val="0"/>
              <w:shd w:val="clear" w:color="auto" w:fill="auto"/>
              <w:bidi w:val="0"/>
              <w:spacing w:before="0" w:after="0" w:line="324"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指标</w:t>
            </w:r>
          </w:p>
        </w:tc>
        <w:tc>
          <w:tcPr>
            <w:tcW w:w="1205"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灵敏度</w:t>
            </w:r>
          </w:p>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(FID检测器)</w:t>
            </w:r>
          </w:p>
        </w:tc>
        <w:tc>
          <w:tcPr>
            <w:tcW w:w="1080"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3pgC/s(十二烷)</w:t>
            </w:r>
          </w:p>
        </w:tc>
        <w:tc>
          <w:tcPr>
            <w:tcW w:w="1032"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3pgC/s(十二烷)</w:t>
            </w:r>
          </w:p>
        </w:tc>
        <w:tc>
          <w:tcPr>
            <w:tcW w:w="975" w:type="pct"/>
            <w:tcBorders>
              <w:top w:val="single" w:color="auto" w:sz="4" w:space="0"/>
              <w:left w:val="single" w:color="auto" w:sz="4" w:space="0"/>
              <w:righ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5pgC/s(十二烷)</w:t>
            </w:r>
          </w:p>
        </w:tc>
      </w:tr>
      <w:tr>
        <w:tblPrEx>
          <w:tblCellMar>
            <w:top w:w="0" w:type="dxa"/>
            <w:left w:w="10" w:type="dxa"/>
            <w:bottom w:w="0" w:type="dxa"/>
            <w:right w:w="10" w:type="dxa"/>
          </w:tblCellMar>
        </w:tblPrEx>
        <w:trPr>
          <w:trHeight w:val="352" w:hRule="atLeast"/>
        </w:trPr>
        <w:tc>
          <w:tcPr>
            <w:tcW w:w="705"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205"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温度准确度</w:t>
            </w:r>
          </w:p>
        </w:tc>
        <w:tc>
          <w:tcPr>
            <w:tcW w:w="1080"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0.01℃</w:t>
            </w:r>
          </w:p>
        </w:tc>
        <w:tc>
          <w:tcPr>
            <w:tcW w:w="1032"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0.1℃</w:t>
            </w:r>
          </w:p>
        </w:tc>
        <w:tc>
          <w:tcPr>
            <w:tcW w:w="975" w:type="pct"/>
            <w:tcBorders>
              <w:top w:val="single" w:color="auto" w:sz="4" w:space="0"/>
              <w:left w:val="single" w:color="auto" w:sz="4" w:space="0"/>
              <w:righ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0.1℃</w:t>
            </w:r>
          </w:p>
        </w:tc>
      </w:tr>
      <w:tr>
        <w:tblPrEx>
          <w:tblCellMar>
            <w:top w:w="0" w:type="dxa"/>
            <w:left w:w="10" w:type="dxa"/>
            <w:bottom w:w="0" w:type="dxa"/>
            <w:right w:w="10" w:type="dxa"/>
          </w:tblCellMar>
        </w:tblPrEx>
        <w:trPr>
          <w:trHeight w:val="90" w:hRule="atLeast"/>
        </w:trPr>
        <w:tc>
          <w:tcPr>
            <w:tcW w:w="705"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205"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程序升温段数</w:t>
            </w:r>
          </w:p>
        </w:tc>
        <w:tc>
          <w:tcPr>
            <w:tcW w:w="1080"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最高２０段</w:t>
            </w:r>
          </w:p>
        </w:tc>
        <w:tc>
          <w:tcPr>
            <w:tcW w:w="1032"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最高7段</w:t>
            </w:r>
          </w:p>
        </w:tc>
        <w:tc>
          <w:tcPr>
            <w:tcW w:w="975" w:type="pct"/>
            <w:tcBorders>
              <w:top w:val="single" w:color="auto" w:sz="4" w:space="0"/>
              <w:left w:val="single" w:color="auto" w:sz="4" w:space="0"/>
              <w:righ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最高7段</w:t>
            </w:r>
          </w:p>
        </w:tc>
      </w:tr>
      <w:tr>
        <w:tblPrEx>
          <w:tblCellMar>
            <w:top w:w="0" w:type="dxa"/>
            <w:left w:w="10" w:type="dxa"/>
            <w:bottom w:w="0" w:type="dxa"/>
            <w:right w:w="10" w:type="dxa"/>
          </w:tblCellMar>
        </w:tblPrEx>
        <w:trPr>
          <w:trHeight w:val="352" w:hRule="atLeast"/>
        </w:trPr>
        <w:tc>
          <w:tcPr>
            <w:tcW w:w="705"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205"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最大升温速率</w:t>
            </w:r>
          </w:p>
        </w:tc>
        <w:tc>
          <w:tcPr>
            <w:tcW w:w="1080"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250℃/min</w:t>
            </w:r>
          </w:p>
        </w:tc>
        <w:tc>
          <w:tcPr>
            <w:tcW w:w="1032"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220℃/min</w:t>
            </w:r>
          </w:p>
        </w:tc>
        <w:tc>
          <w:tcPr>
            <w:tcW w:w="975" w:type="pct"/>
            <w:tcBorders>
              <w:top w:val="single" w:color="auto" w:sz="4" w:space="0"/>
              <w:left w:val="single" w:color="auto" w:sz="4" w:space="0"/>
              <w:righ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200℃/min</w:t>
            </w:r>
          </w:p>
        </w:tc>
      </w:tr>
      <w:tr>
        <w:tblPrEx>
          <w:tblCellMar>
            <w:top w:w="0" w:type="dxa"/>
            <w:left w:w="10" w:type="dxa"/>
            <w:bottom w:w="0" w:type="dxa"/>
            <w:right w:w="10" w:type="dxa"/>
          </w:tblCellMar>
        </w:tblPrEx>
        <w:trPr>
          <w:trHeight w:val="667" w:hRule="atLeast"/>
        </w:trPr>
        <w:tc>
          <w:tcPr>
            <w:tcW w:w="705"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205"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检测器单元同时安装数</w:t>
            </w:r>
          </w:p>
        </w:tc>
        <w:tc>
          <w:tcPr>
            <w:tcW w:w="1080"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最多同时安装4个检测器</w:t>
            </w:r>
          </w:p>
        </w:tc>
        <w:tc>
          <w:tcPr>
            <w:tcW w:w="1032"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最多同时安装3个检测器</w:t>
            </w:r>
          </w:p>
        </w:tc>
        <w:tc>
          <w:tcPr>
            <w:tcW w:w="975" w:type="pct"/>
            <w:tcBorders>
              <w:top w:val="single" w:color="auto" w:sz="4" w:space="0"/>
              <w:left w:val="single" w:color="auto" w:sz="4" w:space="0"/>
              <w:righ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最多同时安装3个检测器</w:t>
            </w:r>
          </w:p>
        </w:tc>
      </w:tr>
      <w:tr>
        <w:tblPrEx>
          <w:tblCellMar>
            <w:top w:w="0" w:type="dxa"/>
            <w:left w:w="10" w:type="dxa"/>
            <w:bottom w:w="0" w:type="dxa"/>
            <w:right w:w="10" w:type="dxa"/>
          </w:tblCellMar>
        </w:tblPrEx>
        <w:trPr>
          <w:trHeight w:val="402" w:hRule="atLeast"/>
        </w:trPr>
        <w:tc>
          <w:tcPr>
            <w:tcW w:w="705"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205" w:type="pct"/>
            <w:tcBorders>
              <w:top w:val="single" w:color="auto" w:sz="4" w:space="0"/>
              <w:left w:val="single" w:color="auto" w:sz="4" w:space="0"/>
            </w:tcBorders>
            <w:shd w:val="clear" w:color="auto" w:fill="FFFFFF"/>
            <w:vAlign w:val="top"/>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进样口最高温度范围</w:t>
            </w:r>
          </w:p>
        </w:tc>
        <w:tc>
          <w:tcPr>
            <w:tcW w:w="1080"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0～420℃</w:t>
            </w:r>
          </w:p>
        </w:tc>
        <w:tc>
          <w:tcPr>
            <w:tcW w:w="1032" w:type="pct"/>
            <w:tcBorders>
              <w:top w:val="single" w:color="auto" w:sz="4" w:space="0"/>
              <w:lef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0～400℃</w:t>
            </w:r>
          </w:p>
        </w:tc>
        <w:tc>
          <w:tcPr>
            <w:tcW w:w="975" w:type="pct"/>
            <w:tcBorders>
              <w:top w:val="single" w:color="auto" w:sz="4" w:space="0"/>
              <w:left w:val="single" w:color="auto" w:sz="4" w:space="0"/>
              <w:right w:val="single" w:color="auto" w:sz="4" w:space="0"/>
            </w:tcBorders>
            <w:shd w:val="clear" w:color="auto" w:fill="FFFFFF"/>
            <w:vAlign w:val="center"/>
          </w:tcPr>
          <w:p>
            <w:pP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0～400℃</w:t>
            </w:r>
          </w:p>
        </w:tc>
      </w:tr>
      <w:tr>
        <w:tblPrEx>
          <w:tblCellMar>
            <w:top w:w="0" w:type="dxa"/>
            <w:left w:w="10" w:type="dxa"/>
            <w:bottom w:w="0" w:type="dxa"/>
            <w:right w:w="10" w:type="dxa"/>
          </w:tblCellMar>
        </w:tblPrEx>
        <w:trPr>
          <w:trHeight w:val="337" w:hRule="atLeast"/>
        </w:trPr>
        <w:tc>
          <w:tcPr>
            <w:tcW w:w="705" w:type="pct"/>
            <w:vMerge w:val="restart"/>
            <w:tcBorders>
              <w:top w:val="single" w:color="auto" w:sz="4" w:space="0"/>
              <w:left w:val="single" w:color="auto" w:sz="4" w:space="0"/>
            </w:tcBorders>
            <w:shd w:val="clear" w:color="auto" w:fill="FFFFFF"/>
            <w:vAlign w:val="center"/>
          </w:tcPr>
          <w:p>
            <w:pPr>
              <w:pStyle w:val="4"/>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市场情况</w:t>
            </w:r>
          </w:p>
          <w:p>
            <w:pPr>
              <w:pStyle w:val="4"/>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和价格比</w:t>
            </w:r>
          </w:p>
          <w:p>
            <w:pPr>
              <w:pStyle w:val="4"/>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较</w:t>
            </w:r>
          </w:p>
        </w:tc>
        <w:tc>
          <w:tcPr>
            <w:tcW w:w="1205" w:type="pct"/>
            <w:tcBorders>
              <w:top w:val="single" w:color="auto" w:sz="4" w:space="0"/>
              <w:lef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市场情况</w:t>
            </w:r>
          </w:p>
        </w:tc>
        <w:tc>
          <w:tcPr>
            <w:tcW w:w="1080"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占有率高</w:t>
            </w:r>
          </w:p>
        </w:tc>
        <w:tc>
          <w:tcPr>
            <w:tcW w:w="1032"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占有率高</w:t>
            </w:r>
          </w:p>
        </w:tc>
        <w:tc>
          <w:tcPr>
            <w:tcW w:w="975"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占有率低</w:t>
            </w:r>
          </w:p>
        </w:tc>
      </w:tr>
      <w:tr>
        <w:tblPrEx>
          <w:tblCellMar>
            <w:top w:w="0" w:type="dxa"/>
            <w:left w:w="10" w:type="dxa"/>
            <w:bottom w:w="0" w:type="dxa"/>
            <w:right w:w="10" w:type="dxa"/>
          </w:tblCellMar>
        </w:tblPrEx>
        <w:trPr>
          <w:trHeight w:val="666" w:hRule="atLeast"/>
        </w:trPr>
        <w:tc>
          <w:tcPr>
            <w:tcW w:w="705"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205" w:type="pct"/>
            <w:tcBorders>
              <w:top w:val="single" w:color="auto" w:sz="4" w:space="0"/>
              <w:left w:val="single" w:color="auto" w:sz="4" w:space="0"/>
            </w:tcBorders>
            <w:shd w:val="clear" w:color="auto" w:fill="FFFFFF"/>
            <w:vAlign w:val="center"/>
          </w:tcPr>
          <w:p>
            <w:pPr>
              <w:pStyle w:val="4"/>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价格</w:t>
            </w:r>
          </w:p>
        </w:tc>
        <w:tc>
          <w:tcPr>
            <w:tcW w:w="1080"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性价比高</w:t>
            </w:r>
          </w:p>
        </w:tc>
        <w:tc>
          <w:tcPr>
            <w:tcW w:w="1032" w:type="pct"/>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价格过高，性价比较低</w:t>
            </w:r>
          </w:p>
        </w:tc>
        <w:tc>
          <w:tcPr>
            <w:tcW w:w="975" w:type="pc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价格低，性能一般</w:t>
            </w:r>
          </w:p>
        </w:tc>
      </w:tr>
      <w:tr>
        <w:tblPrEx>
          <w:tblCellMar>
            <w:top w:w="0" w:type="dxa"/>
            <w:left w:w="10" w:type="dxa"/>
            <w:bottom w:w="0" w:type="dxa"/>
            <w:right w:w="10" w:type="dxa"/>
          </w:tblCellMar>
        </w:tblPrEx>
        <w:trPr>
          <w:trHeight w:val="1691" w:hRule="exact"/>
        </w:trPr>
        <w:tc>
          <w:tcPr>
            <w:tcW w:w="705" w:type="pct"/>
            <w:tcBorders>
              <w:top w:val="single" w:color="auto" w:sz="4" w:space="0"/>
              <w:left w:val="single" w:color="auto" w:sz="4" w:space="0"/>
              <w:bottom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售后服务</w:t>
            </w:r>
          </w:p>
        </w:tc>
        <w:tc>
          <w:tcPr>
            <w:tcW w:w="1205" w:type="pct"/>
            <w:tcBorders>
              <w:top w:val="single" w:color="auto" w:sz="4" w:space="0"/>
              <w:left w:val="single" w:color="auto" w:sz="4" w:space="0"/>
              <w:bottom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技术支持及</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服务响应</w:t>
            </w:r>
          </w:p>
        </w:tc>
        <w:tc>
          <w:tcPr>
            <w:tcW w:w="1080" w:type="pct"/>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在福建设有售后服务中心，并有7名维修人员，服务及时，技术力量强。</w:t>
            </w:r>
          </w:p>
        </w:tc>
        <w:tc>
          <w:tcPr>
            <w:tcW w:w="1032" w:type="pct"/>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在福建只有2名售后服务维修工程师</w:t>
            </w:r>
          </w:p>
        </w:tc>
        <w:tc>
          <w:tcPr>
            <w:tcW w:w="97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售后服务较差，福建省内无服务维修点</w:t>
            </w:r>
          </w:p>
        </w:tc>
      </w:tr>
    </w:tbl>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四、条件准备情况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pPr>
      <w:r>
        <w:rPr>
          <w:rFonts w:hint="eastAsia" w:ascii="仿宋_GB2312" w:hAnsi="仿宋_GB2312" w:eastAsia="仿宋_GB2312" w:cs="仿宋_GB2312"/>
          <w:b w:val="0"/>
          <w:bCs w:val="0"/>
          <w:color w:val="000000"/>
          <w:sz w:val="32"/>
          <w:szCs w:val="32"/>
          <w:lang w:val="en-US" w:eastAsia="zh-CN"/>
        </w:rPr>
        <w:t>实验室具备电</w:t>
      </w:r>
      <w:r>
        <w:rPr>
          <w:rFonts w:hint="eastAsia" w:ascii="仿宋_GB2312" w:hAnsi="仿宋_GB2312" w:eastAsia="仿宋_GB2312" w:cs="仿宋_GB2312"/>
          <w:b w:val="0"/>
          <w:bCs w:val="0"/>
          <w:color w:val="000000"/>
          <w:sz w:val="32"/>
          <w:szCs w:val="32"/>
          <w:lang w:val="en-US" w:eastAsia="en-US"/>
        </w:rPr>
        <w:t>（2</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en-US"/>
        </w:rPr>
        <w:t>0V</w:t>
      </w:r>
      <w:r>
        <w:rPr>
          <w:rFonts w:hint="eastAsia" w:ascii="仿宋_GB2312" w:hAnsi="仿宋_GB2312" w:eastAsia="仿宋_GB2312" w:cs="仿宋_GB2312"/>
          <w:b w:val="0"/>
          <w:bCs w:val="0"/>
          <w:color w:val="000000"/>
          <w:sz w:val="32"/>
          <w:szCs w:val="32"/>
          <w:lang w:val="en-US" w:eastAsia="zh-CN"/>
        </w:rPr>
        <w:t xml:space="preserve">单相电源）、通风（排气系统）、实验平台（尺寸大于200 </w:t>
      </w:r>
      <w:r>
        <w:rPr>
          <w:rFonts w:hint="eastAsia" w:ascii="仿宋_GB2312" w:hAnsi="仿宋_GB2312" w:eastAsia="仿宋_GB2312" w:cs="仿宋_GB2312"/>
          <w:b w:val="0"/>
          <w:bCs w:val="0"/>
          <w:color w:val="000000"/>
          <w:sz w:val="32"/>
          <w:szCs w:val="32"/>
          <w:lang w:val="en-US" w:eastAsia="en-US"/>
        </w:rPr>
        <w:t xml:space="preserve">x </w:t>
      </w:r>
      <w:r>
        <w:rPr>
          <w:rFonts w:hint="eastAsia" w:ascii="仿宋_GB2312" w:hAnsi="仿宋_GB2312" w:eastAsia="仿宋_GB2312" w:cs="仿宋_GB2312"/>
          <w:b w:val="0"/>
          <w:bCs w:val="0"/>
          <w:color w:val="000000"/>
          <w:sz w:val="32"/>
          <w:szCs w:val="32"/>
          <w:lang w:val="en-US" w:eastAsia="zh-CN"/>
        </w:rPr>
        <w:t xml:space="preserve">70 </w:t>
      </w:r>
      <w:r>
        <w:rPr>
          <w:rFonts w:hint="eastAsia" w:ascii="仿宋_GB2312" w:hAnsi="仿宋_GB2312" w:eastAsia="仿宋_GB2312" w:cs="仿宋_GB2312"/>
          <w:b w:val="0"/>
          <w:bCs w:val="0"/>
          <w:color w:val="000000"/>
          <w:sz w:val="32"/>
          <w:szCs w:val="32"/>
          <w:lang w:val="en-US" w:eastAsia="en-US"/>
        </w:rPr>
        <w:t xml:space="preserve">cm, </w:t>
      </w:r>
      <w:r>
        <w:rPr>
          <w:rFonts w:hint="eastAsia" w:ascii="仿宋_GB2312" w:hAnsi="仿宋_GB2312" w:eastAsia="仿宋_GB2312" w:cs="仿宋_GB2312"/>
          <w:b w:val="0"/>
          <w:bCs w:val="0"/>
          <w:color w:val="000000"/>
          <w:sz w:val="32"/>
          <w:szCs w:val="32"/>
          <w:lang w:val="en-US" w:eastAsia="zh-CN"/>
        </w:rPr>
        <w:t>可以承70</w:t>
      </w:r>
      <w:r>
        <w:rPr>
          <w:rFonts w:hint="eastAsia" w:ascii="仿宋_GB2312" w:hAnsi="仿宋_GB2312" w:eastAsia="仿宋_GB2312" w:cs="仿宋_GB2312"/>
          <w:b w:val="0"/>
          <w:bCs w:val="0"/>
          <w:color w:val="000000"/>
          <w:sz w:val="32"/>
          <w:szCs w:val="32"/>
          <w:lang w:val="en-US" w:eastAsia="en-US"/>
        </w:rPr>
        <w:t>Kg</w:t>
      </w:r>
      <w:r>
        <w:rPr>
          <w:rFonts w:hint="eastAsia" w:ascii="仿宋_GB2312" w:hAnsi="仿宋_GB2312" w:eastAsia="仿宋_GB2312" w:cs="仿宋_GB2312"/>
          <w:b w:val="0"/>
          <w:bCs w:val="0"/>
          <w:color w:val="000000"/>
          <w:sz w:val="32"/>
          <w:szCs w:val="32"/>
          <w:lang w:val="en-US" w:eastAsia="zh-CN"/>
        </w:rPr>
        <w:t>以上的设备）等安装条件。</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五、可能存在的安全性问题</w:t>
      </w:r>
    </w:p>
    <w:p>
      <w:pPr>
        <w:numPr>
          <w:ilvl w:val="0"/>
          <w:numId w:val="0"/>
        </w:numPr>
        <w:ind w:firstLine="640" w:firstLineChars="200"/>
      </w:pPr>
      <w:r>
        <w:rPr>
          <w:rFonts w:hint="eastAsia" w:ascii="仿宋_GB2312" w:hAnsi="仿宋_GB2312" w:eastAsia="仿宋_GB2312" w:cs="仿宋_GB2312"/>
          <w:b w:val="0"/>
          <w:bCs w:val="0"/>
          <w:color w:val="000000"/>
          <w:sz w:val="32"/>
          <w:szCs w:val="32"/>
          <w:lang w:val="en-US" w:eastAsia="zh-CN"/>
        </w:rPr>
        <w:t>该设备无任何可燃、易爆以及有毒成分，也无须用到任何可燃、易爆以及有毒成分辅助材料，无任何安全隐患。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A4788"/>
    <w:multiLevelType w:val="singleLevel"/>
    <w:tmpl w:val="5ABA478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EB7E60"/>
    <w:rsid w:val="0CF462EF"/>
    <w:rsid w:val="101C5CFA"/>
    <w:rsid w:val="1658521A"/>
    <w:rsid w:val="18A04ED5"/>
    <w:rsid w:val="1E592455"/>
    <w:rsid w:val="23201794"/>
    <w:rsid w:val="2B724B56"/>
    <w:rsid w:val="301239F2"/>
    <w:rsid w:val="30C84A8F"/>
    <w:rsid w:val="3522139B"/>
    <w:rsid w:val="35E03719"/>
    <w:rsid w:val="40C33A32"/>
    <w:rsid w:val="47947ED7"/>
    <w:rsid w:val="483E65AE"/>
    <w:rsid w:val="4C2A6435"/>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Other|1"/>
    <w:qFormat/>
    <w:uiPriority w:val="0"/>
    <w:pPr>
      <w:widowControl w:val="0"/>
      <w:shd w:val="clear" w:color="auto" w:fill="auto"/>
      <w:spacing w:after="300" w:line="454" w:lineRule="auto"/>
      <w:ind w:firstLine="400"/>
      <w:jc w:val="both"/>
    </w:pPr>
    <w:rPr>
      <w:rFonts w:ascii="宋体" w:hAnsi="宋体" w:eastAsia="宋体" w:cs="宋体"/>
      <w:kern w:val="2"/>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2021-12-06T09:27:29Z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