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rPr>
      </w:pPr>
      <w:bookmarkStart w:id="0" w:name="_GoBack"/>
      <w:r>
        <w:rPr>
          <w:rFonts w:hint="eastAsia" w:ascii="方正小标宋简体" w:hAnsi="方正小标宋简体" w:eastAsia="方正小标宋简体" w:cs="方正小标宋简体"/>
          <w:b/>
          <w:bCs/>
          <w:color w:val="000000"/>
          <w:sz w:val="44"/>
          <w:szCs w:val="44"/>
        </w:rPr>
        <w:t>清源创新实验室气相色谱质谱联用仪</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color w:val="000000"/>
          <w:sz w:val="44"/>
          <w:szCs w:val="44"/>
          <w:lang w:eastAsia="zh-CN"/>
        </w:rPr>
      </w:pPr>
      <w:r>
        <w:rPr>
          <w:rFonts w:hint="eastAsia" w:ascii="方正小标宋简体" w:hAnsi="方正小标宋简体" w:eastAsia="方正小标宋简体" w:cs="方正小标宋简体"/>
          <w:b/>
          <w:bCs/>
          <w:color w:val="000000"/>
          <w:sz w:val="44"/>
          <w:szCs w:val="44"/>
        </w:rPr>
        <w:t>需求调研情况</w:t>
      </w:r>
      <w:r>
        <w:rPr>
          <w:rFonts w:hint="eastAsia" w:ascii="方正小标宋简体" w:hAnsi="方正小标宋简体" w:eastAsia="方正小标宋简体" w:cs="方正小标宋简体"/>
          <w:b/>
          <w:bCs/>
          <w:color w:val="000000"/>
          <w:sz w:val="44"/>
          <w:szCs w:val="44"/>
          <w:lang w:eastAsia="zh-CN"/>
        </w:rPr>
        <w:t>（</w:t>
      </w:r>
      <w:r>
        <w:rPr>
          <w:rFonts w:hint="eastAsia" w:ascii="方正小标宋简体" w:hAnsi="方正小标宋简体" w:eastAsia="方正小标宋简体" w:cs="方正小标宋简体"/>
          <w:b/>
          <w:bCs/>
          <w:color w:val="000000"/>
          <w:sz w:val="44"/>
          <w:szCs w:val="44"/>
          <w:lang w:val="en-US" w:eastAsia="zh-CN"/>
        </w:rPr>
        <w:t>台二</w:t>
      </w:r>
      <w:r>
        <w:rPr>
          <w:rFonts w:hint="eastAsia" w:ascii="方正小标宋简体" w:hAnsi="方正小标宋简体" w:eastAsia="方正小标宋简体" w:cs="方正小标宋简体"/>
          <w:b/>
          <w:bCs/>
          <w:color w:val="000000"/>
          <w:sz w:val="44"/>
          <w:szCs w:val="44"/>
          <w:lang w:eastAsia="zh-CN"/>
        </w:rPr>
        <w:t>）</w:t>
      </w:r>
    </w:p>
    <w:bookmarkEnd w:id="0"/>
    <w:p>
      <w:pPr>
        <w:snapToGrid w:val="0"/>
        <w:spacing w:line="540" w:lineRule="exact"/>
        <w:ind w:firstLine="640" w:firstLineChars="200"/>
        <w:jc w:val="left"/>
        <w:rPr>
          <w:rFonts w:hint="eastAsia" w:ascii="黑体" w:hAnsi="黑体" w:eastAsia="黑体" w:cs="黑体"/>
          <w:b w:val="0"/>
          <w:bCs w:val="0"/>
          <w:sz w:val="32"/>
          <w:szCs w:val="32"/>
          <w:lang w:bidi="en-US"/>
        </w:rPr>
      </w:pPr>
      <w:r>
        <w:rPr>
          <w:rFonts w:hint="eastAsia" w:ascii="黑体" w:hAnsi="黑体" w:eastAsia="黑体" w:cs="黑体"/>
          <w:b w:val="0"/>
          <w:bCs w:val="0"/>
          <w:sz w:val="32"/>
          <w:szCs w:val="32"/>
          <w:lang w:bidi="en-US"/>
        </w:rPr>
        <w:t>一、仪器设备使用的项目</w:t>
      </w:r>
    </w:p>
    <w:p>
      <w:pPr>
        <w:snapToGrid w:val="0"/>
        <w:spacing w:line="540" w:lineRule="exact"/>
        <w:ind w:firstLine="640" w:firstLineChars="200"/>
        <w:jc w:val="left"/>
        <w:rPr>
          <w:rFonts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气相色谱法是对有机化合物是一种有效的分离分析方法，特别适合于进行有机化合物的定量分析，被广泛应用于复杂组分的分离与鉴定，而气相色谱质谱联用法具有GC的高分辨率和质谱的高灵敏度特点。能为本项目环境中污染物的分析提供有效的定性、定量工具。</w:t>
      </w:r>
    </w:p>
    <w:p>
      <w:pPr>
        <w:snapToGrid w:val="0"/>
        <w:spacing w:line="540" w:lineRule="exact"/>
        <w:ind w:firstLine="640" w:firstLineChars="200"/>
        <w:jc w:val="left"/>
        <w:rPr>
          <w:rFonts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随着科学技术的发展和环境学科教学领域拓展的需要，我课题组催化剂污染物降解方向担负着大量科研分析工作和为企业担负技术顾问的需要以及本科生、研究生培养教育，平台目前配备的设备已经不能满足我课题组环境中分析学科现有开展科研和教学工作的需要，严重影响我课题组的人才培养（本科生与研究生课程教学）和科研工作，制约学科的建设与发展。鉴于上述情况，为了更好地保证教学、科研工作的顺利完成，经过单位相关教师的多轮认真讨论，一致认为，气相色谱质谱联用仪是我课题组目前需求迫切、发挥效益较大的分析检测仪器，所以我课题组申请尽快购置一台服务于综合实验平台分析测</w:t>
      </w:r>
    </w:p>
    <w:p>
      <w:pPr>
        <w:snapToGrid w:val="0"/>
        <w:spacing w:line="540" w:lineRule="exact"/>
        <w:jc w:val="left"/>
        <w:rPr>
          <w:rFonts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试为主、性能指标能够满足常规科研和教学需要、灵敏度高、性价比高、性能稳定可靠的进口品牌的气相色谱质谱联用仪。</w:t>
      </w:r>
    </w:p>
    <w:p>
      <w:pPr>
        <w:numPr>
          <w:ilvl w:val="0"/>
          <w:numId w:val="1"/>
        </w:numPr>
        <w:snapToGrid w:val="0"/>
        <w:spacing w:line="540" w:lineRule="exact"/>
        <w:ind w:firstLine="643" w:firstLineChars="200"/>
        <w:jc w:val="left"/>
        <w:rPr>
          <w:rFonts w:hint="eastAsia" w:ascii="黑体" w:hAnsi="黑体" w:eastAsia="黑体" w:cs="黑体"/>
          <w:b/>
          <w:bCs/>
          <w:sz w:val="32"/>
          <w:szCs w:val="32"/>
          <w:lang w:bidi="en-US"/>
        </w:rPr>
      </w:pPr>
      <w:r>
        <w:rPr>
          <w:rFonts w:hint="eastAsia" w:ascii="黑体" w:hAnsi="黑体" w:eastAsia="黑体" w:cs="黑体"/>
          <w:b/>
          <w:bCs/>
          <w:sz w:val="32"/>
          <w:szCs w:val="32"/>
          <w:lang w:bidi="en-US"/>
        </w:rPr>
        <w:t>在该项目中所承担的任务</w:t>
      </w:r>
    </w:p>
    <w:p>
      <w:pPr>
        <w:snapToGrid w:val="0"/>
        <w:spacing w:line="540" w:lineRule="exact"/>
        <w:ind w:firstLine="640" w:firstLineChars="200"/>
        <w:jc w:val="left"/>
        <w:rPr>
          <w:rFonts w:ascii="Times New Roman" w:hAnsi="Times New Roman" w:eastAsia="宋体" w:cs="Times New Roman"/>
          <w:sz w:val="32"/>
          <w:szCs w:val="32"/>
          <w:lang w:bidi="en-US"/>
        </w:rPr>
      </w:pPr>
      <w:r>
        <w:rPr>
          <w:rFonts w:hint="eastAsia" w:ascii="Times New Roman" w:hAnsi="Times New Roman" w:eastAsia="宋体" w:cs="Times New Roman"/>
          <w:sz w:val="32"/>
          <w:szCs w:val="32"/>
          <w:lang w:val="en-US" w:eastAsia="zh-CN" w:bidi="en-US"/>
        </w:rPr>
        <w:t>1.</w:t>
      </w:r>
      <w:r>
        <w:rPr>
          <w:rFonts w:hint="eastAsia" w:ascii="Times New Roman" w:hAnsi="Times New Roman" w:eastAsia="宋体" w:cs="Times New Roman"/>
          <w:sz w:val="32"/>
          <w:szCs w:val="32"/>
          <w:lang w:bidi="en-US"/>
        </w:rPr>
        <w:t>利用其有极强的分离能力分离环境空气中各类挥发性化合物；</w:t>
      </w:r>
    </w:p>
    <w:p>
      <w:pPr>
        <w:snapToGrid w:val="0"/>
        <w:spacing w:line="540" w:lineRule="exact"/>
        <w:ind w:firstLine="640" w:firstLineChars="200"/>
        <w:jc w:val="left"/>
        <w:rPr>
          <w:rFonts w:ascii="Times New Roman" w:hAnsi="Times New Roman" w:eastAsia="宋体" w:cs="Times New Roman"/>
          <w:sz w:val="32"/>
          <w:szCs w:val="32"/>
          <w:lang w:bidi="en-US"/>
        </w:rPr>
      </w:pPr>
      <w:r>
        <w:rPr>
          <w:rFonts w:hint="eastAsia" w:ascii="Times New Roman" w:hAnsi="Times New Roman" w:eastAsia="宋体" w:cs="Times New Roman"/>
          <w:sz w:val="32"/>
          <w:szCs w:val="32"/>
          <w:lang w:val="en-US" w:eastAsia="zh-CN" w:bidi="en-US"/>
        </w:rPr>
        <w:t>2.</w:t>
      </w:r>
      <w:r>
        <w:rPr>
          <w:rFonts w:hint="eastAsia" w:ascii="Times New Roman" w:hAnsi="Times New Roman" w:eastAsia="宋体" w:cs="Times New Roman"/>
          <w:sz w:val="32"/>
          <w:szCs w:val="32"/>
          <w:lang w:bidi="en-US"/>
        </w:rPr>
        <w:t>鉴定未知污染物具有独特的鉴定能力，且灵敏度极高，可以作为分离和检测复杂化合物的最有力工具之一；</w:t>
      </w:r>
    </w:p>
    <w:p>
      <w:pPr>
        <w:snapToGrid w:val="0"/>
        <w:spacing w:line="540" w:lineRule="exact"/>
        <w:ind w:firstLine="640" w:firstLineChars="200"/>
        <w:jc w:val="left"/>
        <w:rPr>
          <w:rFonts w:ascii="Times New Roman" w:hAnsi="Times New Roman" w:eastAsia="宋体" w:cs="Times New Roman"/>
          <w:sz w:val="32"/>
          <w:szCs w:val="32"/>
          <w:lang w:bidi="en-US"/>
        </w:rPr>
      </w:pPr>
      <w:r>
        <w:rPr>
          <w:rFonts w:hint="eastAsia" w:ascii="Times New Roman" w:hAnsi="Times New Roman" w:eastAsia="宋体" w:cs="Times New Roman"/>
          <w:sz w:val="32"/>
          <w:szCs w:val="32"/>
          <w:lang w:val="en-US" w:eastAsia="zh-CN" w:bidi="en-US"/>
        </w:rPr>
        <w:t>3.</w:t>
      </w:r>
      <w:r>
        <w:rPr>
          <w:rFonts w:hint="eastAsia" w:ascii="Times New Roman" w:hAnsi="Times New Roman" w:eastAsia="宋体" w:cs="Times New Roman"/>
          <w:sz w:val="32"/>
          <w:szCs w:val="32"/>
          <w:lang w:bidi="en-US"/>
        </w:rPr>
        <w:t>使试样中各组分在离子源中发生电离，生成不同荷质比的带正电荷的离子，经加速电场的作用，形成离子束，进入质量分析器。在质量分析器中，再利用电场和磁场使发生相反的速度色散，将它们分别聚焦而得到质谱图，从而确定其质量。</w:t>
      </w:r>
    </w:p>
    <w:p>
      <w:pPr>
        <w:snapToGrid w:val="0"/>
        <w:spacing w:line="540" w:lineRule="exact"/>
        <w:ind w:firstLine="640" w:firstLineChars="200"/>
        <w:jc w:val="left"/>
        <w:rPr>
          <w:rFonts w:hint="eastAsia" w:ascii="黑体" w:hAnsi="黑体" w:eastAsia="黑体" w:cs="黑体"/>
          <w:sz w:val="32"/>
          <w:szCs w:val="32"/>
          <w:lang w:bidi="en-US"/>
        </w:rPr>
      </w:pPr>
      <w:r>
        <w:rPr>
          <w:rFonts w:hint="eastAsia" w:ascii="黑体" w:hAnsi="黑体" w:eastAsia="黑体" w:cs="黑体"/>
          <w:sz w:val="32"/>
          <w:szCs w:val="32"/>
          <w:lang w:bidi="en-US"/>
        </w:rPr>
        <w:t>三、国内外同类项目所用的仪器设备及优缺点对比</w:t>
      </w:r>
    </w:p>
    <w:tbl>
      <w:tblPr>
        <w:tblStyle w:val="5"/>
        <w:tblW w:w="0" w:type="auto"/>
        <w:jc w:val="center"/>
        <w:tblLayout w:type="fixed"/>
        <w:tblCellMar>
          <w:top w:w="0" w:type="dxa"/>
          <w:left w:w="10" w:type="dxa"/>
          <w:bottom w:w="0" w:type="dxa"/>
          <w:right w:w="10" w:type="dxa"/>
        </w:tblCellMar>
      </w:tblPr>
      <w:tblGrid>
        <w:gridCol w:w="1186"/>
        <w:gridCol w:w="1890"/>
        <w:gridCol w:w="2220"/>
        <w:gridCol w:w="652"/>
        <w:gridCol w:w="1523"/>
        <w:gridCol w:w="2295"/>
      </w:tblGrid>
      <w:tr>
        <w:tblPrEx>
          <w:tblCellMar>
            <w:top w:w="0" w:type="dxa"/>
            <w:left w:w="10" w:type="dxa"/>
            <w:bottom w:w="0" w:type="dxa"/>
            <w:right w:w="10" w:type="dxa"/>
          </w:tblCellMar>
        </w:tblPrEx>
        <w:trPr>
          <w:trHeight w:val="451"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名称</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型号</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制造公司</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使用单位</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购置时间</w:t>
            </w:r>
          </w:p>
        </w:tc>
      </w:tr>
      <w:tr>
        <w:tblPrEx>
          <w:tblCellMar>
            <w:top w:w="0" w:type="dxa"/>
            <w:left w:w="10" w:type="dxa"/>
            <w:bottom w:w="0" w:type="dxa"/>
            <w:right w:w="10" w:type="dxa"/>
          </w:tblCellMar>
        </w:tblPrEx>
        <w:trPr>
          <w:trHeight w:val="577"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气相色谱质谱联用仪</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GCMS-QP2020NX</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日本岛津</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福建省产品质量检测研究院</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2019</w:t>
            </w:r>
          </w:p>
        </w:tc>
      </w:tr>
      <w:tr>
        <w:tblPrEx>
          <w:tblCellMar>
            <w:top w:w="0" w:type="dxa"/>
            <w:left w:w="10" w:type="dxa"/>
            <w:bottom w:w="0" w:type="dxa"/>
            <w:right w:w="10" w:type="dxa"/>
          </w:tblCellMar>
        </w:tblPrEx>
        <w:trPr>
          <w:trHeight w:val="670"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气相色谱质谱联用仪</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5977B</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美国安捷伦</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福州大学</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2017</w:t>
            </w:r>
          </w:p>
        </w:tc>
      </w:tr>
      <w:tr>
        <w:tblPrEx>
          <w:tblCellMar>
            <w:top w:w="0" w:type="dxa"/>
            <w:left w:w="10" w:type="dxa"/>
            <w:bottom w:w="0" w:type="dxa"/>
            <w:right w:w="10" w:type="dxa"/>
          </w:tblCellMar>
        </w:tblPrEx>
        <w:trPr>
          <w:trHeight w:val="670"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气相色谱质谱联用仪</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Scion GC-MS SQ</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上海天美</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福建农林大学</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2020</w:t>
            </w:r>
          </w:p>
        </w:tc>
      </w:tr>
      <w:tr>
        <w:tblPrEx>
          <w:tblCellMar>
            <w:top w:w="0" w:type="dxa"/>
            <w:left w:w="10" w:type="dxa"/>
            <w:bottom w:w="0" w:type="dxa"/>
            <w:right w:w="10" w:type="dxa"/>
          </w:tblCellMar>
        </w:tblPrEx>
        <w:trPr>
          <w:trHeight w:val="401" w:hRule="exact"/>
          <w:jc w:val="center"/>
        </w:trPr>
        <w:tc>
          <w:tcPr>
            <w:tcW w:w="9766"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r>
              <w:rPr>
                <w:color w:val="000000"/>
              </w:rPr>
              <w:t>优缺点对比</w:t>
            </w:r>
          </w:p>
        </w:tc>
      </w:tr>
      <w:tr>
        <w:tblPrEx>
          <w:tblCellMar>
            <w:top w:w="0" w:type="dxa"/>
            <w:left w:w="10" w:type="dxa"/>
            <w:bottom w:w="0" w:type="dxa"/>
            <w:right w:w="10" w:type="dxa"/>
          </w:tblCellMar>
        </w:tblPrEx>
        <w:trPr>
          <w:trHeight w:val="390"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品牌</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优点</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jc w:val="center"/>
              <w:rPr>
                <w:rFonts w:ascii="黑体" w:hAnsi="黑体" w:eastAsia="黑体" w:cs="黑体"/>
              </w:rPr>
            </w:pPr>
            <w:r>
              <w:rPr>
                <w:rFonts w:hint="eastAsia" w:ascii="黑体" w:hAnsi="黑体" w:eastAsia="黑体" w:cs="黑体"/>
                <w:color w:val="000000"/>
              </w:rPr>
              <w:t>缺点</w:t>
            </w:r>
          </w:p>
        </w:tc>
      </w:tr>
      <w:tr>
        <w:tblPrEx>
          <w:tblCellMar>
            <w:top w:w="0" w:type="dxa"/>
            <w:left w:w="10" w:type="dxa"/>
            <w:bottom w:w="0" w:type="dxa"/>
            <w:right w:w="10" w:type="dxa"/>
          </w:tblCellMar>
        </w:tblPrEx>
        <w:trPr>
          <w:trHeight w:val="582"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日本岛津</w:t>
            </w:r>
          </w:p>
        </w:tc>
        <w:tc>
          <w:tcPr>
            <w:tcW w:w="476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灵敏度高，耐用性强，性价比高，福州有维修点售后服务好，维护成本低，市场占有率高</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非常适合研发</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无</w:t>
            </w:r>
          </w:p>
        </w:tc>
      </w:tr>
      <w:tr>
        <w:tblPrEx>
          <w:tblCellMar>
            <w:top w:w="0" w:type="dxa"/>
            <w:left w:w="10" w:type="dxa"/>
            <w:bottom w:w="0" w:type="dxa"/>
            <w:right w:w="10" w:type="dxa"/>
          </w:tblCellMar>
        </w:tblPrEx>
        <w:trPr>
          <w:trHeight w:val="1078"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auto"/>
                <w:lang w:val="en-US" w:eastAsia="zh-CN" w:bidi="en-US"/>
              </w:rPr>
            </w:pPr>
            <w:r>
              <w:rPr>
                <w:rFonts w:hint="eastAsia" w:ascii="Times New Roman" w:hAnsi="Times New Roman" w:cs="Times New Roman"/>
                <w:color w:val="auto"/>
                <w:lang w:val="en-US" w:eastAsia="zh-CN" w:bidi="en-US"/>
              </w:rPr>
              <w:t>美国安捷伦</w:t>
            </w:r>
          </w:p>
        </w:tc>
        <w:tc>
          <w:tcPr>
            <w:tcW w:w="476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auto"/>
                <w:lang w:val="en-US" w:eastAsia="zh-CN" w:bidi="en-US"/>
              </w:rPr>
            </w:pPr>
            <w:r>
              <w:rPr>
                <w:rFonts w:hint="eastAsia" w:ascii="Times New Roman" w:hAnsi="Times New Roman" w:cs="Times New Roman"/>
                <w:color w:val="auto"/>
                <w:lang w:val="en-US" w:eastAsia="zh-CN" w:bidi="en-US"/>
              </w:rPr>
              <w:t>灵敏度不高，耐用性强，性价比不高，福州有维修点售后服务一般，维护成本高，市场占有率较高</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ascii="Times New Roman" w:hAnsi="Times New Roman" w:cs="Times New Roman"/>
                <w:lang w:val="en-US" w:eastAsia="zh-CN" w:bidi="en-US"/>
              </w:rPr>
              <w:t>比较</w:t>
            </w:r>
            <w:r>
              <w:rPr>
                <w:rFonts w:hint="eastAsia" w:ascii="Times New Roman" w:hAnsi="Times New Roman" w:cs="Times New Roman"/>
                <w:lang w:val="en-US" w:eastAsia="zh-CN" w:bidi="en-US"/>
              </w:rPr>
              <w:t>适合研发</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价格贵，维护成本高，美国电热市场占有率低，售后服务跟不上</w:t>
            </w:r>
          </w:p>
        </w:tc>
      </w:tr>
      <w:tr>
        <w:tblPrEx>
          <w:tblCellMar>
            <w:top w:w="0" w:type="dxa"/>
            <w:left w:w="10" w:type="dxa"/>
            <w:bottom w:w="0" w:type="dxa"/>
            <w:right w:w="10" w:type="dxa"/>
          </w:tblCellMar>
        </w:tblPrEx>
        <w:trPr>
          <w:trHeight w:val="975" w:hRule="exact"/>
          <w:jc w:val="center"/>
        </w:trPr>
        <w:tc>
          <w:tcPr>
            <w:tcW w:w="118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auto"/>
                <w:lang w:val="en-US" w:eastAsia="zh-CN" w:bidi="en-US"/>
              </w:rPr>
            </w:pPr>
            <w:r>
              <w:rPr>
                <w:rFonts w:hint="eastAsia" w:ascii="Times New Roman" w:hAnsi="Times New Roman" w:cs="Times New Roman"/>
                <w:color w:val="auto"/>
                <w:lang w:val="en-US" w:eastAsia="zh-CN" w:bidi="en-US"/>
              </w:rPr>
              <w:t>上海天美</w:t>
            </w:r>
          </w:p>
        </w:tc>
        <w:tc>
          <w:tcPr>
            <w:tcW w:w="476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auto"/>
                <w:lang w:val="en-US" w:eastAsia="zh-CN" w:bidi="en-US"/>
              </w:rPr>
            </w:pPr>
            <w:r>
              <w:rPr>
                <w:rFonts w:hint="eastAsia" w:ascii="Times New Roman" w:hAnsi="Times New Roman" w:cs="Times New Roman"/>
                <w:color w:val="auto"/>
                <w:lang w:val="en-US" w:eastAsia="zh-CN" w:bidi="en-US"/>
              </w:rPr>
              <w:t>灵敏度不高，耐用性差，性价比不高，福州无维修点售后服务不好，维护成本高，市场占有率较高</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不适合研发</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lang w:val="en-US" w:eastAsia="zh-CN" w:bidi="en-US"/>
              </w:rPr>
            </w:pPr>
            <w:r>
              <w:rPr>
                <w:rFonts w:hint="eastAsia" w:ascii="Times New Roman" w:hAnsi="Times New Roman" w:cs="Times New Roman"/>
                <w:lang w:val="en-US" w:eastAsia="zh-CN" w:bidi="en-US"/>
              </w:rPr>
              <w:t>16阶以内，无惰性化处理、解卷积程序，灵敏度不高</w:t>
            </w:r>
          </w:p>
        </w:tc>
      </w:tr>
      <w:tr>
        <w:tblPrEx>
          <w:tblCellMar>
            <w:top w:w="0" w:type="dxa"/>
            <w:left w:w="10" w:type="dxa"/>
            <w:bottom w:w="0" w:type="dxa"/>
            <w:right w:w="10" w:type="dxa"/>
          </w:tblCellMar>
        </w:tblPrEx>
        <w:trPr>
          <w:trHeight w:val="505" w:hRule="exact"/>
          <w:jc w:val="center"/>
        </w:trPr>
        <w:tc>
          <w:tcPr>
            <w:tcW w:w="9766" w:type="dxa"/>
            <w:gridSpan w:val="6"/>
            <w:tcBorders>
              <w:top w:val="single" w:color="auto" w:sz="4" w:space="0"/>
              <w:left w:val="single" w:color="auto" w:sz="4" w:space="0"/>
              <w:right w:val="single" w:color="auto" w:sz="4" w:space="0"/>
            </w:tcBorders>
            <w:shd w:val="clear" w:color="auto" w:fill="FFFFFF"/>
          </w:tcPr>
          <w:p>
            <w:pPr>
              <w:pStyle w:val="10"/>
              <w:spacing w:after="0" w:line="425" w:lineRule="exact"/>
              <w:ind w:firstLine="0"/>
              <w:jc w:val="left"/>
              <w:rPr>
                <w:sz w:val="28"/>
                <w:szCs w:val="28"/>
              </w:rPr>
            </w:pPr>
            <w:r>
              <w:rPr>
                <w:color w:val="000000"/>
                <w:sz w:val="28"/>
                <w:szCs w:val="28"/>
              </w:rPr>
              <w:t>同类项目所用仪器设备的优缺点（提供不少于三家制造公司的仪器设备）</w:t>
            </w:r>
          </w:p>
        </w:tc>
      </w:tr>
      <w:tr>
        <w:tblPrEx>
          <w:tblCellMar>
            <w:top w:w="0" w:type="dxa"/>
            <w:left w:w="10" w:type="dxa"/>
            <w:bottom w:w="0" w:type="dxa"/>
            <w:right w:w="10" w:type="dxa"/>
          </w:tblCellMar>
        </w:tblPrEx>
        <w:trPr>
          <w:trHeight w:val="663" w:hRule="exact"/>
          <w:jc w:val="center"/>
        </w:trPr>
        <w:tc>
          <w:tcPr>
            <w:tcW w:w="1186"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类别</w:t>
            </w:r>
          </w:p>
        </w:tc>
        <w:tc>
          <w:tcPr>
            <w:tcW w:w="1890"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项目</w:t>
            </w:r>
          </w:p>
        </w:tc>
        <w:tc>
          <w:tcPr>
            <w:tcW w:w="2220" w:type="dxa"/>
            <w:tcBorders>
              <w:top w:val="single" w:color="auto" w:sz="4" w:space="0"/>
              <w:left w:val="single" w:color="auto" w:sz="4" w:space="0"/>
              <w:bottom w:val="single" w:color="auto" w:sz="4" w:space="0"/>
            </w:tcBorders>
            <w:shd w:val="clear" w:color="auto" w:fill="FFFFFF"/>
            <w:vAlign w:val="bottom"/>
          </w:tcPr>
          <w:p>
            <w:pPr>
              <w:pStyle w:val="10"/>
              <w:adjustRightInd w:val="0"/>
              <w:snapToGrid w:val="0"/>
              <w:spacing w:after="0" w:line="240" w:lineRule="auto"/>
              <w:ind w:firstLine="0"/>
              <w:jc w:val="center"/>
              <w:rPr>
                <w:rFonts w:ascii="Times New Roman" w:hAnsi="Times New Roman" w:cs="Times New Roman"/>
                <w:color w:val="000000"/>
                <w:lang w:val="en-US" w:eastAsia="zh-CN" w:bidi="en-US"/>
              </w:rPr>
            </w:pPr>
            <w:r>
              <w:rPr>
                <w:rFonts w:hint="eastAsia" w:ascii="Times New Roman" w:hAnsi="Times New Roman" w:cs="Times New Roman"/>
                <w:color w:val="000000"/>
                <w:lang w:val="en-US" w:eastAsia="zh-CN" w:bidi="en-US"/>
              </w:rPr>
              <w:t>日本岛津GCMS-QP2020NX</w:t>
            </w:r>
          </w:p>
        </w:tc>
        <w:tc>
          <w:tcPr>
            <w:tcW w:w="2175" w:type="dxa"/>
            <w:gridSpan w:val="2"/>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lang w:val="en-US" w:eastAsia="zh-CN" w:bidi="en-US"/>
              </w:rPr>
            </w:pPr>
            <w:r>
              <w:rPr>
                <w:rFonts w:hint="eastAsia" w:ascii="Times New Roman" w:hAnsi="Times New Roman" w:cs="Times New Roman"/>
                <w:color w:val="000000"/>
                <w:lang w:val="en-US" w:eastAsia="zh-CN" w:bidi="en-US"/>
              </w:rPr>
              <w:t>美国安捷伦      5977B</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0"/>
              <w:adjustRightInd w:val="0"/>
              <w:snapToGrid w:val="0"/>
              <w:spacing w:after="0" w:line="240" w:lineRule="auto"/>
              <w:ind w:firstLine="0"/>
              <w:jc w:val="center"/>
              <w:rPr>
                <w:rFonts w:ascii="Times New Roman" w:hAnsi="Times New Roman" w:cs="Times New Roman"/>
                <w:color w:val="000000"/>
                <w:lang w:val="en-US" w:eastAsia="zh-CN" w:bidi="en-US"/>
              </w:rPr>
            </w:pPr>
            <w:r>
              <w:rPr>
                <w:rFonts w:hint="eastAsia" w:ascii="Times New Roman" w:hAnsi="Times New Roman" w:cs="Times New Roman"/>
                <w:color w:val="000000"/>
                <w:lang w:val="en-US" w:eastAsia="zh-CN" w:bidi="en-US"/>
              </w:rPr>
              <w:t>上海天美        Scion GC-MS SQ</w:t>
            </w:r>
          </w:p>
        </w:tc>
      </w:tr>
      <w:tr>
        <w:tblPrEx>
          <w:tblCellMar>
            <w:top w:w="0" w:type="dxa"/>
            <w:left w:w="10" w:type="dxa"/>
            <w:bottom w:w="0" w:type="dxa"/>
            <w:right w:w="10" w:type="dxa"/>
          </w:tblCellMar>
        </w:tblPrEx>
        <w:trPr>
          <w:trHeight w:val="667" w:hRule="atLeast"/>
          <w:jc w:val="center"/>
        </w:trPr>
        <w:tc>
          <w:tcPr>
            <w:tcW w:w="1186" w:type="dxa"/>
            <w:vMerge w:val="restart"/>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主要性能</w:t>
            </w:r>
          </w:p>
          <w:p>
            <w:pPr>
              <w:pStyle w:val="10"/>
              <w:adjustRightInd w:val="0"/>
              <w:snapToGrid w:val="0"/>
              <w:spacing w:after="0" w:line="240" w:lineRule="auto"/>
              <w:ind w:firstLine="0"/>
              <w:jc w:val="center"/>
              <w:rPr>
                <w:rFonts w:ascii="仿宋_GB2312" w:hAnsi="仿宋_GB2312" w:eastAsia="仿宋_GB2312" w:cs="仿宋_GB2312"/>
                <w:sz w:val="21"/>
                <w:szCs w:val="21"/>
              </w:rPr>
            </w:pPr>
            <w:r>
              <w:rPr>
                <w:rFonts w:hint="eastAsia" w:ascii="Times New Roman" w:hAnsi="Times New Roman" w:cs="Times New Roman"/>
                <w:color w:val="000000"/>
                <w:sz w:val="21"/>
                <w:szCs w:val="21"/>
                <w:lang w:val="en-US" w:eastAsia="zh-CN" w:bidi="en-US"/>
              </w:rPr>
              <w:t>指标</w:t>
            </w: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质量分析器</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配备预四极的高精度全金属四级杆，预四极可转动可清洗，主四级杆可清洗打磨，抗污染强</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配备TK离子透镜的石英涂金一体化四极杆，抗污染弱</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配备预四极的高精度全金属四级杆</w:t>
            </w:r>
          </w:p>
        </w:tc>
      </w:tr>
      <w:tr>
        <w:tblPrEx>
          <w:tblCellMar>
            <w:top w:w="0" w:type="dxa"/>
            <w:left w:w="10" w:type="dxa"/>
            <w:bottom w:w="0" w:type="dxa"/>
            <w:right w:w="10" w:type="dxa"/>
          </w:tblCellMar>
        </w:tblPrEx>
        <w:trPr>
          <w:trHeight w:val="447" w:hRule="atLeast"/>
          <w:jc w:val="center"/>
        </w:trPr>
        <w:tc>
          <w:tcPr>
            <w:tcW w:w="1186" w:type="dxa"/>
            <w:vMerge w:val="continue"/>
            <w:tcBorders>
              <w:left w:val="single" w:color="auto" w:sz="4" w:space="0"/>
            </w:tcBorders>
            <w:shd w:val="clear" w:color="auto" w:fill="FFFFFF"/>
            <w:vAlign w:val="center"/>
          </w:tcPr>
          <w:p>
            <w:pPr>
              <w:rPr>
                <w:rFonts w:ascii="仿宋_GB2312" w:hAnsi="仿宋_GB2312" w:eastAsia="仿宋_GB2312" w:cs="仿宋_GB2312"/>
                <w:sz w:val="20"/>
                <w:szCs w:val="22"/>
              </w:rPr>
            </w:pP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最大扫描速度</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20，000 amu/sec</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20,000amu/sec</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10,000 amu/sec</w:t>
            </w:r>
          </w:p>
        </w:tc>
      </w:tr>
      <w:tr>
        <w:tblPrEx>
          <w:tblCellMar>
            <w:top w:w="0" w:type="dxa"/>
            <w:left w:w="10" w:type="dxa"/>
            <w:bottom w:w="0" w:type="dxa"/>
            <w:right w:w="10" w:type="dxa"/>
          </w:tblCellMar>
        </w:tblPrEx>
        <w:trPr>
          <w:trHeight w:val="397" w:hRule="atLeast"/>
          <w:jc w:val="center"/>
        </w:trPr>
        <w:tc>
          <w:tcPr>
            <w:tcW w:w="1186" w:type="dxa"/>
            <w:vMerge w:val="continue"/>
            <w:tcBorders>
              <w:left w:val="single" w:color="auto" w:sz="4" w:space="0"/>
            </w:tcBorders>
            <w:shd w:val="clear" w:color="auto" w:fill="FFFFFF"/>
            <w:vAlign w:val="center"/>
          </w:tcPr>
          <w:p>
            <w:pPr>
              <w:rPr>
                <w:rFonts w:ascii="仿宋_GB2312" w:hAnsi="仿宋_GB2312" w:eastAsia="仿宋_GB2312" w:cs="仿宋_GB2312"/>
                <w:sz w:val="20"/>
                <w:szCs w:val="22"/>
              </w:rPr>
            </w:pP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最大升温速度</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250°C</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120°C</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180°C</w:t>
            </w:r>
          </w:p>
        </w:tc>
      </w:tr>
      <w:tr>
        <w:tblPrEx>
          <w:tblCellMar>
            <w:top w:w="0" w:type="dxa"/>
            <w:left w:w="10" w:type="dxa"/>
            <w:bottom w:w="0" w:type="dxa"/>
            <w:right w:w="10" w:type="dxa"/>
          </w:tblCellMar>
        </w:tblPrEx>
        <w:trPr>
          <w:trHeight w:val="417" w:hRule="atLeast"/>
          <w:jc w:val="center"/>
        </w:trPr>
        <w:tc>
          <w:tcPr>
            <w:tcW w:w="1186" w:type="dxa"/>
            <w:vMerge w:val="continue"/>
            <w:tcBorders>
              <w:left w:val="single" w:color="auto" w:sz="4" w:space="0"/>
            </w:tcBorders>
            <w:shd w:val="clear" w:color="auto" w:fill="FFFFFF"/>
            <w:vAlign w:val="center"/>
          </w:tcPr>
          <w:p>
            <w:pPr>
              <w:rPr>
                <w:rFonts w:ascii="仿宋_GB2312" w:hAnsi="仿宋_GB2312" w:eastAsia="仿宋_GB2312" w:cs="仿宋_GB2312"/>
                <w:sz w:val="20"/>
                <w:szCs w:val="22"/>
              </w:rPr>
            </w:pP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灵敏度（信噪比）</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S/N:2000:1</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S/N:1500:1</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S/N:1500:1</w:t>
            </w:r>
          </w:p>
        </w:tc>
      </w:tr>
      <w:tr>
        <w:tblPrEx>
          <w:tblCellMar>
            <w:top w:w="0" w:type="dxa"/>
            <w:left w:w="10" w:type="dxa"/>
            <w:bottom w:w="0" w:type="dxa"/>
            <w:right w:w="10" w:type="dxa"/>
          </w:tblCellMar>
        </w:tblPrEx>
        <w:trPr>
          <w:trHeight w:val="437" w:hRule="atLeast"/>
          <w:jc w:val="center"/>
        </w:trPr>
        <w:tc>
          <w:tcPr>
            <w:tcW w:w="1186" w:type="dxa"/>
            <w:vMerge w:val="continue"/>
            <w:tcBorders>
              <w:left w:val="single" w:color="auto" w:sz="4" w:space="0"/>
            </w:tcBorders>
            <w:shd w:val="clear" w:color="auto" w:fill="FFFFFF"/>
            <w:vAlign w:val="center"/>
          </w:tcPr>
          <w:p>
            <w:pPr>
              <w:rPr>
                <w:rFonts w:ascii="仿宋_GB2312" w:hAnsi="仿宋_GB2312" w:eastAsia="仿宋_GB2312" w:cs="仿宋_GB2312"/>
                <w:sz w:val="20"/>
                <w:szCs w:val="22"/>
              </w:rPr>
            </w:pP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检测器最多扩展数</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4</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3</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2</w:t>
            </w:r>
          </w:p>
        </w:tc>
      </w:tr>
      <w:tr>
        <w:tblPrEx>
          <w:tblCellMar>
            <w:top w:w="0" w:type="dxa"/>
            <w:left w:w="10" w:type="dxa"/>
            <w:bottom w:w="0" w:type="dxa"/>
            <w:right w:w="10" w:type="dxa"/>
          </w:tblCellMar>
        </w:tblPrEx>
        <w:trPr>
          <w:trHeight w:val="667" w:hRule="atLeast"/>
          <w:jc w:val="center"/>
        </w:trPr>
        <w:tc>
          <w:tcPr>
            <w:tcW w:w="1186" w:type="dxa"/>
            <w:vMerge w:val="continue"/>
            <w:tcBorders>
              <w:left w:val="single" w:color="auto" w:sz="4" w:space="0"/>
              <w:bottom w:val="single" w:color="auto" w:sz="4" w:space="0"/>
            </w:tcBorders>
            <w:shd w:val="clear" w:color="auto" w:fill="FFFFFF"/>
            <w:vAlign w:val="center"/>
          </w:tcPr>
          <w:p>
            <w:pPr>
              <w:rPr>
                <w:rFonts w:ascii="仿宋_GB2312" w:hAnsi="仿宋_GB2312" w:eastAsia="仿宋_GB2312" w:cs="仿宋_GB2312"/>
                <w:sz w:val="20"/>
                <w:szCs w:val="22"/>
              </w:rPr>
            </w:pPr>
          </w:p>
        </w:tc>
        <w:tc>
          <w:tcPr>
            <w:tcW w:w="1890"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软件功能</w:t>
            </w:r>
          </w:p>
        </w:tc>
        <w:tc>
          <w:tcPr>
            <w:tcW w:w="2220"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AART功能（基于保留指数的保留时间自动校正），解卷积</w:t>
            </w:r>
          </w:p>
        </w:tc>
        <w:tc>
          <w:tcPr>
            <w:tcW w:w="2175" w:type="dxa"/>
            <w:gridSpan w:val="2"/>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保留时间单点自动校正</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无此功能</w:t>
            </w:r>
          </w:p>
        </w:tc>
      </w:tr>
      <w:tr>
        <w:tblPrEx>
          <w:tblCellMar>
            <w:top w:w="0" w:type="dxa"/>
            <w:left w:w="10" w:type="dxa"/>
            <w:bottom w:w="0" w:type="dxa"/>
            <w:right w:w="10" w:type="dxa"/>
          </w:tblCellMar>
        </w:tblPrEx>
        <w:trPr>
          <w:trHeight w:val="427" w:hRule="atLeast"/>
          <w:jc w:val="center"/>
        </w:trPr>
        <w:tc>
          <w:tcPr>
            <w:tcW w:w="1186" w:type="dxa"/>
            <w:vMerge w:val="restart"/>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市场情况</w:t>
            </w:r>
          </w:p>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和价格比</w:t>
            </w:r>
          </w:p>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较</w:t>
            </w: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市场情况</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占有率高</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占有率高</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占有率低</w:t>
            </w:r>
          </w:p>
        </w:tc>
      </w:tr>
      <w:tr>
        <w:tblPrEx>
          <w:tblCellMar>
            <w:top w:w="0" w:type="dxa"/>
            <w:left w:w="10" w:type="dxa"/>
            <w:bottom w:w="0" w:type="dxa"/>
            <w:right w:w="10" w:type="dxa"/>
          </w:tblCellMar>
        </w:tblPrEx>
        <w:trPr>
          <w:trHeight w:val="467" w:hRule="atLeast"/>
          <w:jc w:val="center"/>
        </w:trPr>
        <w:tc>
          <w:tcPr>
            <w:tcW w:w="1186" w:type="dxa"/>
            <w:vMerge w:val="continue"/>
            <w:tcBorders>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p>
        </w:tc>
        <w:tc>
          <w:tcPr>
            <w:tcW w:w="189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价格</w:t>
            </w:r>
          </w:p>
        </w:tc>
        <w:tc>
          <w:tcPr>
            <w:tcW w:w="2220"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性价比高</w:t>
            </w:r>
          </w:p>
        </w:tc>
        <w:tc>
          <w:tcPr>
            <w:tcW w:w="2175" w:type="dxa"/>
            <w:gridSpan w:val="2"/>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价格过高，性价比较低</w:t>
            </w:r>
          </w:p>
        </w:tc>
        <w:tc>
          <w:tcPr>
            <w:tcW w:w="2295" w:type="dxa"/>
            <w:tcBorders>
              <w:top w:val="single" w:color="auto" w:sz="4" w:space="0"/>
              <w:left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价格低，性能一般</w:t>
            </w:r>
          </w:p>
        </w:tc>
      </w:tr>
      <w:tr>
        <w:tblPrEx>
          <w:tblCellMar>
            <w:top w:w="0" w:type="dxa"/>
            <w:left w:w="10" w:type="dxa"/>
            <w:bottom w:w="0" w:type="dxa"/>
            <w:right w:w="10" w:type="dxa"/>
          </w:tblCellMar>
        </w:tblPrEx>
        <w:trPr>
          <w:trHeight w:val="932" w:hRule="exact"/>
          <w:jc w:val="center"/>
        </w:trPr>
        <w:tc>
          <w:tcPr>
            <w:tcW w:w="1186"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售后服务</w:t>
            </w:r>
          </w:p>
        </w:tc>
        <w:tc>
          <w:tcPr>
            <w:tcW w:w="1890"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售后服务</w:t>
            </w:r>
          </w:p>
        </w:tc>
        <w:tc>
          <w:tcPr>
            <w:tcW w:w="2220" w:type="dxa"/>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在福建设有售后服务中心，并有7名维修人员，服务及时，技术力量强。</w:t>
            </w:r>
          </w:p>
        </w:tc>
        <w:tc>
          <w:tcPr>
            <w:tcW w:w="2175" w:type="dxa"/>
            <w:gridSpan w:val="2"/>
            <w:tcBorders>
              <w:top w:val="single" w:color="auto" w:sz="4" w:space="0"/>
              <w:left w:val="single" w:color="auto" w:sz="4" w:space="0"/>
              <w:bottom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在福建只有2名售后服务维修工程师</w:t>
            </w:r>
          </w:p>
        </w:tc>
        <w:tc>
          <w:tcPr>
            <w:tcW w:w="22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Times New Roman" w:hAnsi="Times New Roman" w:cs="Times New Roman"/>
                <w:color w:val="000000"/>
                <w:sz w:val="21"/>
                <w:szCs w:val="21"/>
                <w:lang w:val="en-US" w:eastAsia="zh-CN" w:bidi="en-US"/>
              </w:rPr>
            </w:pPr>
            <w:r>
              <w:rPr>
                <w:rFonts w:hint="eastAsia" w:ascii="Times New Roman" w:hAnsi="Times New Roman" w:cs="Times New Roman"/>
                <w:color w:val="000000"/>
                <w:sz w:val="21"/>
                <w:szCs w:val="21"/>
                <w:lang w:val="en-US" w:eastAsia="zh-CN" w:bidi="en-US"/>
              </w:rPr>
              <w:t>售后服务较差，福建省内无服务维修点</w:t>
            </w:r>
          </w:p>
        </w:tc>
      </w:tr>
    </w:tbl>
    <w:p>
      <w:pPr>
        <w:snapToGrid w:val="0"/>
        <w:spacing w:line="540" w:lineRule="exact"/>
        <w:ind w:firstLine="640" w:firstLineChars="200"/>
        <w:jc w:val="left"/>
        <w:rPr>
          <w:rFonts w:hint="eastAsia" w:ascii="黑体" w:hAnsi="黑体" w:eastAsia="黑体" w:cs="黑体"/>
          <w:color w:val="000000"/>
          <w:sz w:val="32"/>
          <w:szCs w:val="32"/>
          <w:lang w:bidi="en-US"/>
        </w:rPr>
      </w:pPr>
    </w:p>
    <w:p>
      <w:pPr>
        <w:snapToGrid w:val="0"/>
        <w:spacing w:line="540" w:lineRule="exact"/>
        <w:ind w:firstLine="640" w:firstLineChars="200"/>
        <w:jc w:val="left"/>
        <w:rPr>
          <w:rFonts w:ascii="Times New Roman" w:hAnsi="Times New Roman" w:eastAsia="宋体" w:cs="Times New Roman"/>
          <w:color w:val="000000"/>
          <w:sz w:val="22"/>
          <w:szCs w:val="22"/>
          <w:lang w:bidi="en-US"/>
        </w:rPr>
      </w:pPr>
      <w:r>
        <w:rPr>
          <w:rFonts w:hint="eastAsia" w:ascii="黑体" w:hAnsi="黑体" w:eastAsia="黑体" w:cs="黑体"/>
          <w:color w:val="000000"/>
          <w:sz w:val="32"/>
          <w:szCs w:val="32"/>
          <w:lang w:bidi="en-US"/>
        </w:rPr>
        <w:t>四、条件准备情况</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温度：环境温度控制：18℃~28℃（恒温）。</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操作温度控制：15℃~35℃</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相对湿度：40%~70%(不结露）</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海拔高度：2000m以下</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污染等级：2(IEC)</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安装位置：使用宽约为2000mm,进深至少为700mm的水平且坚固的桌子或实验台。</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(载物台能够承重110kg以上，高度差或凹凸度在1mm以下）,并确保仪器背面有500mm以上的空间.</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*如果安装选购件排气管（P/N:221-47748-41),至少需要留出300mm的空间。</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其他：安装室内尽量避免尘埃、震动、电磁场、腐蚀性气体及其他有害因素的干扰。切勿在爆炸性气体环境中使用。</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仪器安装的磁场值没有严格的规定，因为在不同条件下可能会有明显的差别。以下测定</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可做参考：</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AC磁场强度：小于0.01mT(100mG)</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静态磁场强度：小于0.1mT(1000mG)</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电源要求：GC AC230V单相2600VA</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MS AC230V单相1000VA</w:t>
      </w:r>
    </w:p>
    <w:p>
      <w:pPr>
        <w:snapToGrid w:val="0"/>
        <w:spacing w:line="540" w:lineRule="exact"/>
        <w:ind w:firstLine="640" w:firstLineChars="200"/>
        <w:jc w:val="left"/>
        <w:rPr>
          <w:rFonts w:hint="eastAsia" w:ascii="Times New Roman" w:hAnsi="Times New Roman" w:eastAsia="宋体" w:cs="Times New Roman"/>
          <w:sz w:val="32"/>
          <w:szCs w:val="32"/>
          <w:lang w:bidi="en-US"/>
        </w:rPr>
      </w:pPr>
      <w:r>
        <w:rPr>
          <w:rFonts w:hint="eastAsia" w:ascii="Times New Roman" w:hAnsi="Times New Roman" w:eastAsia="宋体" w:cs="Times New Roman"/>
          <w:sz w:val="32"/>
          <w:szCs w:val="32"/>
          <w:lang w:bidi="en-US"/>
        </w:rPr>
        <w:t>实验室已具备上述条件，无需改造！</w:t>
      </w:r>
    </w:p>
    <w:p>
      <w:pPr>
        <w:snapToGrid w:val="0"/>
        <w:spacing w:line="540" w:lineRule="exact"/>
        <w:ind w:firstLine="640" w:firstLineChars="200"/>
        <w:jc w:val="left"/>
        <w:rPr>
          <w:rFonts w:hint="eastAsia" w:ascii="黑体" w:hAnsi="黑体" w:eastAsia="黑体" w:cs="黑体"/>
          <w:color w:val="000000"/>
          <w:sz w:val="32"/>
          <w:szCs w:val="32"/>
          <w:lang w:bidi="en-US"/>
        </w:rPr>
      </w:pPr>
      <w:r>
        <w:rPr>
          <w:rFonts w:hint="eastAsia" w:ascii="黑体" w:hAnsi="黑体" w:eastAsia="黑体" w:cs="黑体"/>
          <w:color w:val="000000"/>
          <w:sz w:val="32"/>
          <w:szCs w:val="32"/>
          <w:lang w:bidi="en-US"/>
        </w:rPr>
        <w:t>五、可能存在的安全性问题</w:t>
      </w:r>
    </w:p>
    <w:p>
      <w:pPr>
        <w:snapToGrid w:val="0"/>
        <w:spacing w:line="540" w:lineRule="exact"/>
        <w:ind w:firstLine="640" w:firstLineChars="200"/>
        <w:jc w:val="left"/>
        <w:rPr>
          <w:rFonts w:ascii="Times New Roman" w:hAnsi="Times New Roman" w:eastAsia="宋体" w:cs="Times New Roman"/>
          <w:color w:val="000000"/>
          <w:sz w:val="22"/>
          <w:szCs w:val="22"/>
          <w:lang w:bidi="en-US"/>
        </w:rPr>
      </w:pPr>
      <w:r>
        <w:rPr>
          <w:rFonts w:hint="eastAsia" w:ascii="Times New Roman" w:hAnsi="Times New Roman" w:eastAsia="宋体" w:cs="Times New Roman"/>
          <w:sz w:val="32"/>
          <w:szCs w:val="32"/>
          <w:lang w:bidi="en-US"/>
        </w:rPr>
        <w:t>本设备无任何可燃、易爆以及有毒成分，也无须用到任何可燃、易爆以及有毒成分辅助材料，无任何安全隐患。</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a:ln>
                        <a:noFill/>
                      </a:ln>
                      <a:effectLst/>
                    </wps:spPr>
                    <wps:txbx>
                      <w:txbxContent>
                        <w:p>
                          <w:pPr>
                            <w:pStyle w:val="11"/>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ov1onYAAAADQEAAA8AAAAAAAAAAQAgAAAAIgAAAGRycy9kb3ducmV2LnhtbFBLAQIU&#10;ABQAAAAIAIdO4kAg1K73ugEAAJYDAAAOAAAAAAAAAAEAIAAAACcBAABkcnMvZTJvRG9jLnhtbFBL&#10;BQYAAAAABgAGAFkBAABTBQAAAAA=&#10;">
              <v:fill on="f" focussize="0,0"/>
              <v:stroke on="f"/>
              <v:imagedata o:title=""/>
              <o:lock v:ext="edit" aspectratio="f"/>
              <v:textbox inset="0mm,0mm,0mm,0mm" style="mso-fit-shape-to-text:t;">
                <w:txbxContent>
                  <w:p>
                    <w:pPr>
                      <w:pStyle w:val="11"/>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E664E2"/>
    <w:multiLevelType w:val="singleLevel"/>
    <w:tmpl w:val="73E664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1A0E16"/>
    <w:rsid w:val="001D2A8A"/>
    <w:rsid w:val="002A16F2"/>
    <w:rsid w:val="00495A4B"/>
    <w:rsid w:val="00EB7E60"/>
    <w:rsid w:val="00EC5385"/>
    <w:rsid w:val="00F84F5F"/>
    <w:rsid w:val="01EA0E83"/>
    <w:rsid w:val="0301396B"/>
    <w:rsid w:val="05154E61"/>
    <w:rsid w:val="057B44D6"/>
    <w:rsid w:val="0ACD3951"/>
    <w:rsid w:val="0C2107A9"/>
    <w:rsid w:val="0CF462EF"/>
    <w:rsid w:val="0F2D2B41"/>
    <w:rsid w:val="108F4BD1"/>
    <w:rsid w:val="11C95F9C"/>
    <w:rsid w:val="1209283C"/>
    <w:rsid w:val="130628D8"/>
    <w:rsid w:val="1BFF1C01"/>
    <w:rsid w:val="1E592455"/>
    <w:rsid w:val="1FBB33A3"/>
    <w:rsid w:val="23201794"/>
    <w:rsid w:val="240E07A9"/>
    <w:rsid w:val="251D242F"/>
    <w:rsid w:val="257B5FDE"/>
    <w:rsid w:val="25C44658"/>
    <w:rsid w:val="271635D9"/>
    <w:rsid w:val="29D46E34"/>
    <w:rsid w:val="2B2160A9"/>
    <w:rsid w:val="2B724B56"/>
    <w:rsid w:val="2C5509C3"/>
    <w:rsid w:val="2E6863BB"/>
    <w:rsid w:val="2E7F7CB6"/>
    <w:rsid w:val="30C84A8F"/>
    <w:rsid w:val="3522139B"/>
    <w:rsid w:val="35BA60CE"/>
    <w:rsid w:val="39C33C94"/>
    <w:rsid w:val="3D0535B4"/>
    <w:rsid w:val="3EED0351"/>
    <w:rsid w:val="3F1B7587"/>
    <w:rsid w:val="40C33A32"/>
    <w:rsid w:val="47947ED7"/>
    <w:rsid w:val="483E65AE"/>
    <w:rsid w:val="4BFE6267"/>
    <w:rsid w:val="4C2A6435"/>
    <w:rsid w:val="4D7C41F2"/>
    <w:rsid w:val="536D782E"/>
    <w:rsid w:val="55591C47"/>
    <w:rsid w:val="564927D4"/>
    <w:rsid w:val="57D85FAF"/>
    <w:rsid w:val="5F131BD1"/>
    <w:rsid w:val="69657B31"/>
    <w:rsid w:val="6AF00E79"/>
    <w:rsid w:val="6CE07597"/>
    <w:rsid w:val="6FE80CD7"/>
    <w:rsid w:val="70671D7D"/>
    <w:rsid w:val="709541F4"/>
    <w:rsid w:val="70FF1E55"/>
    <w:rsid w:val="72CE1B17"/>
    <w:rsid w:val="74543DB5"/>
    <w:rsid w:val="77B27D81"/>
    <w:rsid w:val="790C1713"/>
    <w:rsid w:val="7A876BAB"/>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316</Words>
  <Characters>1802</Characters>
  <Lines>15</Lines>
  <Paragraphs>4</Paragraphs>
  <TotalTime>11</TotalTime>
  <ScaleCrop>false</ScaleCrop>
  <LinksUpToDate>false</LinksUpToDate>
  <CharactersWithSpaces>2114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2021-12-05T03:37:00Z</dcterms:created>
  <dc:creator>阿融</dc:creator>
  <cp:lastModifiedBy>阿融</cp:lastModifiedBy>
  <dcterms:modified xsi:type="dcterms:W3CDTF">2021-12-06T08:57:16Z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B7774B5778A843DA851A872B5B8888A2</vt:lpwstr>
  </property>
</Properties>
</file>