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清源创新实验室生源气体采集及前处理系统</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需求调研情况</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rPr>
          <w:rFonts w:hint="eastAsia" w:ascii="黑体" w:hAnsi="黑体" w:eastAsia="黑体" w:cs="黑体"/>
          <w:b/>
          <w:bCs/>
          <w:color w:val="000000"/>
          <w:sz w:val="32"/>
          <w:szCs w:val="32"/>
          <w:lang w:bidi="zh-TW"/>
        </w:rPr>
      </w:pPr>
      <w:r>
        <w:rPr>
          <w:rFonts w:hint="eastAsia" w:ascii="黑体" w:hAnsi="黑体" w:eastAsia="黑体" w:cs="黑体"/>
          <w:b/>
          <w:bCs/>
          <w:color w:val="000000"/>
          <w:sz w:val="32"/>
          <w:szCs w:val="32"/>
          <w:lang w:bidi="zh-TW"/>
        </w:rPr>
        <w:t>一、仪器设备使用的项目</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光催化剂的设计合成及光催化分解”项目的顺利开展，生源气体采集及前处理系统是光催化研究必不可少的仪器，可以有机挥发样品的采集和预处理分离。购置该仪器可以对学院相关科研团队的研究进行有力的支持。</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rPr>
          <w:rFonts w:hint="eastAsia" w:ascii="黑体" w:hAnsi="黑体" w:eastAsia="黑体" w:cs="黑体"/>
          <w:b/>
          <w:bCs/>
          <w:color w:val="000000"/>
          <w:sz w:val="32"/>
          <w:szCs w:val="32"/>
          <w:lang w:bidi="zh-TW"/>
        </w:rPr>
      </w:pPr>
      <w:r>
        <w:rPr>
          <w:rFonts w:hint="eastAsia" w:ascii="黑体" w:hAnsi="黑体" w:eastAsia="黑体" w:cs="黑体"/>
          <w:b/>
          <w:bCs/>
          <w:color w:val="000000"/>
          <w:sz w:val="32"/>
          <w:szCs w:val="32"/>
          <w:lang w:bidi="zh-TW"/>
        </w:rPr>
        <w:t>二、在该项目中所承担的任务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生源气体采集及前处理系统是实现环境大气痕量组分、污染源高低组分挥发性气体最高效、最灵敏的技术手段，几乎可分析所有的低分子量的易挥发及半易挥发的气体组分，特别对于嗅阈值很低（ppt级）的还原性硫化物如硫化氢、甲硫醇、甲硫醚、二硫化碳和羰基硫等是一个很好采集及监测手段，购置一套本设备系统可很好解决目前科研项目需要。此外，该系统还可用于土壤植物和固体废物释放到大气中的挥发性痕量气体的采集监测、动植物和微生物释放到大气中的次生性挥发性气体物质、食品加工过程挥发性痕量风味气体和香气、以及城市和农村大气样品中痕量有害气体、垃圾焚烧环境质量评价监控、畜禽养殖废水释放到大气中的挥发性臭气、工厂周边无组织排放及烟 囱有组织排放监测、植物中BVOCs、及环境大气T015、PAMS、OVOCs、</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ODS监测等研究工作。因此，该仪器的购买可以做到多学院多项目共享，在交叉学科发展中有非常重要的作用，在高水平大学建设中发挥重要作用。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黑体" w:hAnsi="黑体" w:eastAsia="黑体" w:cs="黑体"/>
          <w:color w:val="000000"/>
          <w:sz w:val="32"/>
          <w:szCs w:val="32"/>
          <w:lang w:bidi="zh-TW"/>
        </w:rPr>
      </w:pPr>
      <w:r>
        <w:rPr>
          <w:rFonts w:hint="eastAsia" w:ascii="黑体" w:hAnsi="黑体" w:eastAsia="黑体" w:cs="黑体"/>
          <w:color w:val="000000"/>
          <w:sz w:val="32"/>
          <w:szCs w:val="32"/>
          <w:lang w:bidi="zh-TW"/>
        </w:rPr>
        <w:t>三、国内外同类项目所用的仪器设备及优缺点对比</w:t>
      </w:r>
    </w:p>
    <w:tbl>
      <w:tblPr>
        <w:tblStyle w:val="3"/>
        <w:tblW w:w="9976" w:type="dxa"/>
        <w:jc w:val="center"/>
        <w:tblLayout w:type="fixed"/>
        <w:tblCellMar>
          <w:top w:w="0" w:type="dxa"/>
          <w:left w:w="10" w:type="dxa"/>
          <w:bottom w:w="0" w:type="dxa"/>
          <w:right w:w="10" w:type="dxa"/>
        </w:tblCellMar>
      </w:tblPr>
      <w:tblGrid>
        <w:gridCol w:w="1651"/>
        <w:gridCol w:w="2115"/>
        <w:gridCol w:w="2235"/>
        <w:gridCol w:w="1845"/>
        <w:gridCol w:w="255"/>
        <w:gridCol w:w="1875"/>
      </w:tblGrid>
      <w:tr>
        <w:tblPrEx>
          <w:tblCellMar>
            <w:top w:w="0" w:type="dxa"/>
            <w:left w:w="10" w:type="dxa"/>
            <w:bottom w:w="0" w:type="dxa"/>
            <w:right w:w="10" w:type="dxa"/>
          </w:tblCellMar>
        </w:tblPrEx>
        <w:trPr>
          <w:trHeight w:val="451" w:hRule="exact"/>
          <w:jc w:val="center"/>
        </w:trPr>
        <w:tc>
          <w:tcPr>
            <w:tcW w:w="16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名称</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型号</w:t>
            </w:r>
          </w:p>
        </w:tc>
        <w:tc>
          <w:tcPr>
            <w:tcW w:w="22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制造公司</w:t>
            </w:r>
          </w:p>
        </w:tc>
        <w:tc>
          <w:tcPr>
            <w:tcW w:w="21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使用单位</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购置时间</w:t>
            </w:r>
          </w:p>
        </w:tc>
      </w:tr>
      <w:tr>
        <w:tblPrEx>
          <w:tblCellMar>
            <w:top w:w="0" w:type="dxa"/>
            <w:left w:w="10" w:type="dxa"/>
            <w:bottom w:w="0" w:type="dxa"/>
            <w:right w:w="10" w:type="dxa"/>
          </w:tblCellMar>
        </w:tblPrEx>
        <w:trPr>
          <w:trHeight w:val="966" w:hRule="exact"/>
          <w:jc w:val="center"/>
        </w:trPr>
        <w:tc>
          <w:tcPr>
            <w:tcW w:w="16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生源气体采集及监测系统</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ENTECH7200等</w:t>
            </w:r>
          </w:p>
        </w:tc>
        <w:tc>
          <w:tcPr>
            <w:tcW w:w="22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ENTECH公司</w:t>
            </w:r>
          </w:p>
        </w:tc>
        <w:tc>
          <w:tcPr>
            <w:tcW w:w="21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厦门理工学院</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2020</w:t>
            </w:r>
          </w:p>
        </w:tc>
      </w:tr>
      <w:tr>
        <w:tblPrEx>
          <w:tblCellMar>
            <w:top w:w="0" w:type="dxa"/>
            <w:left w:w="10" w:type="dxa"/>
            <w:bottom w:w="0" w:type="dxa"/>
            <w:right w:w="10" w:type="dxa"/>
          </w:tblCellMar>
        </w:tblPrEx>
        <w:trPr>
          <w:trHeight w:val="695" w:hRule="exact"/>
          <w:jc w:val="center"/>
        </w:trPr>
        <w:tc>
          <w:tcPr>
            <w:tcW w:w="1651" w:type="dxa"/>
            <w:vMerge w:val="restart"/>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生源气体采集及监测系统</w:t>
            </w:r>
          </w:p>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CIA Advantage-xr等</w:t>
            </w:r>
          </w:p>
        </w:tc>
        <w:tc>
          <w:tcPr>
            <w:tcW w:w="22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MARKS公司</w:t>
            </w:r>
          </w:p>
        </w:tc>
        <w:tc>
          <w:tcPr>
            <w:tcW w:w="21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湖北襄阳环境监测站</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2020</w:t>
            </w:r>
          </w:p>
        </w:tc>
      </w:tr>
      <w:tr>
        <w:tblPrEx>
          <w:tblCellMar>
            <w:top w:w="0" w:type="dxa"/>
            <w:left w:w="10" w:type="dxa"/>
            <w:bottom w:w="0" w:type="dxa"/>
            <w:right w:w="10" w:type="dxa"/>
          </w:tblCellMar>
        </w:tblPrEx>
        <w:trPr>
          <w:trHeight w:val="781" w:hRule="exact"/>
          <w:jc w:val="center"/>
        </w:trPr>
        <w:tc>
          <w:tcPr>
            <w:tcW w:w="1651" w:type="dxa"/>
            <w:vMerge w:val="continue"/>
            <w:tcBorders>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NUTECH8900DS等</w:t>
            </w:r>
          </w:p>
        </w:tc>
        <w:tc>
          <w:tcPr>
            <w:tcW w:w="22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NUTECH公司</w:t>
            </w:r>
          </w:p>
        </w:tc>
        <w:tc>
          <w:tcPr>
            <w:tcW w:w="21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安徽马鞍山环境监测站</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4"/>
                <w:szCs w:val="24"/>
                <w:lang w:val="en-US" w:eastAsia="zh-CN" w:bidi="en-US"/>
              </w:rPr>
            </w:pPr>
            <w:r>
              <w:rPr>
                <w:rFonts w:hint="eastAsia" w:ascii="Times New Roman" w:hAnsi="Times New Roman" w:cs="Times New Roman"/>
                <w:color w:val="000000"/>
                <w:sz w:val="24"/>
                <w:szCs w:val="24"/>
                <w:lang w:val="en-US" w:eastAsia="zh-CN" w:bidi="en-US"/>
              </w:rPr>
              <w:t>2014</w:t>
            </w:r>
          </w:p>
        </w:tc>
      </w:tr>
      <w:tr>
        <w:tblPrEx>
          <w:tblCellMar>
            <w:top w:w="0" w:type="dxa"/>
            <w:left w:w="10" w:type="dxa"/>
            <w:bottom w:w="0" w:type="dxa"/>
            <w:right w:w="10" w:type="dxa"/>
          </w:tblCellMar>
        </w:tblPrEx>
        <w:trPr>
          <w:trHeight w:val="492" w:hRule="exact"/>
          <w:jc w:val="center"/>
        </w:trPr>
        <w:tc>
          <w:tcPr>
            <w:tcW w:w="997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sz w:val="10"/>
                <w:szCs w:val="10"/>
              </w:rPr>
            </w:pPr>
            <w:r>
              <w:rPr>
                <w:color w:val="000000"/>
              </w:rPr>
              <w:t>优缺点对比</w:t>
            </w:r>
          </w:p>
        </w:tc>
      </w:tr>
      <w:tr>
        <w:tblPrEx>
          <w:tblCellMar>
            <w:top w:w="0" w:type="dxa"/>
            <w:left w:w="10" w:type="dxa"/>
            <w:bottom w:w="0" w:type="dxa"/>
            <w:right w:w="10" w:type="dxa"/>
          </w:tblCellMar>
        </w:tblPrEx>
        <w:trPr>
          <w:trHeight w:val="390" w:hRule="exact"/>
          <w:jc w:val="center"/>
        </w:trPr>
        <w:tc>
          <w:tcPr>
            <w:tcW w:w="16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品牌</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黑体" w:hAnsi="黑体" w:eastAsia="黑体" w:cs="黑体"/>
                <w:sz w:val="10"/>
                <w:szCs w:val="10"/>
              </w:rPr>
            </w:pPr>
          </w:p>
        </w:tc>
        <w:tc>
          <w:tcPr>
            <w:tcW w:w="223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优点</w:t>
            </w:r>
          </w:p>
        </w:tc>
        <w:tc>
          <w:tcPr>
            <w:tcW w:w="21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黑体" w:hAnsi="黑体" w:eastAsia="黑体" w:cs="黑体"/>
                <w:sz w:val="10"/>
                <w:szCs w:val="10"/>
              </w:rPr>
            </w:pP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jc w:val="center"/>
              <w:rPr>
                <w:rFonts w:ascii="黑体" w:hAnsi="黑体" w:eastAsia="黑体" w:cs="黑体"/>
              </w:rPr>
            </w:pPr>
            <w:r>
              <w:rPr>
                <w:rFonts w:hint="eastAsia" w:ascii="黑体" w:hAnsi="黑体" w:eastAsia="黑体" w:cs="黑体"/>
                <w:color w:val="000000"/>
              </w:rPr>
              <w:t>缺点</w:t>
            </w:r>
          </w:p>
        </w:tc>
      </w:tr>
      <w:tr>
        <w:tblPrEx>
          <w:tblCellMar>
            <w:top w:w="0" w:type="dxa"/>
            <w:left w:w="10" w:type="dxa"/>
            <w:bottom w:w="0" w:type="dxa"/>
            <w:right w:w="10" w:type="dxa"/>
          </w:tblCellMar>
        </w:tblPrEx>
        <w:trPr>
          <w:trHeight w:val="670" w:hRule="exact"/>
          <w:jc w:val="center"/>
        </w:trPr>
        <w:tc>
          <w:tcPr>
            <w:tcW w:w="16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2"/>
                <w:szCs w:val="22"/>
                <w:lang w:val="en-US" w:eastAsia="zh-CN" w:bidi="en-US"/>
              </w:rPr>
            </w:pPr>
            <w:r>
              <w:rPr>
                <w:rFonts w:hint="eastAsia" w:ascii="Times New Roman" w:hAnsi="Times New Roman" w:cs="Times New Roman"/>
                <w:color w:val="000000"/>
                <w:sz w:val="22"/>
                <w:szCs w:val="22"/>
                <w:lang w:val="en-US" w:eastAsia="zh-CN" w:bidi="en-US"/>
              </w:rPr>
              <w:t>ENTECH公司ENTECH7200</w:t>
            </w:r>
          </w:p>
        </w:tc>
        <w:tc>
          <w:tcPr>
            <w:tcW w:w="4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2"/>
                <w:szCs w:val="22"/>
                <w:lang w:val="en-US" w:eastAsia="zh-CN" w:bidi="en-US"/>
              </w:rPr>
            </w:pPr>
            <w:r>
              <w:rPr>
                <w:rFonts w:hint="eastAsia" w:ascii="Times New Roman" w:hAnsi="Times New Roman" w:cs="Times New Roman"/>
                <w:color w:val="000000"/>
                <w:sz w:val="22"/>
                <w:szCs w:val="22"/>
                <w:lang w:val="en-US" w:eastAsia="zh-CN" w:bidi="en-US"/>
              </w:rPr>
              <w:t>仪器性能稳定，使用效果好</w:t>
            </w:r>
          </w:p>
        </w:tc>
        <w:tc>
          <w:tcPr>
            <w:tcW w:w="21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2"/>
                <w:szCs w:val="22"/>
                <w:lang w:val="en-US" w:eastAsia="zh-CN" w:bidi="en-US"/>
              </w:rPr>
            </w:pPr>
            <w:r>
              <w:rPr>
                <w:rFonts w:hint="eastAsia" w:ascii="Times New Roman" w:hAnsi="Times New Roman" w:cs="Times New Roman"/>
                <w:color w:val="000000"/>
                <w:sz w:val="22"/>
                <w:szCs w:val="22"/>
                <w:lang w:val="en-US" w:eastAsia="zh-CN" w:bidi="en-US"/>
              </w:rPr>
              <w:t>非常适合研发</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2"/>
                <w:szCs w:val="22"/>
                <w:lang w:val="en-US" w:eastAsia="zh-CN" w:bidi="en-US"/>
              </w:rPr>
            </w:pPr>
            <w:r>
              <w:rPr>
                <w:rFonts w:hint="eastAsia" w:ascii="Times New Roman" w:hAnsi="Times New Roman" w:cs="Times New Roman"/>
                <w:color w:val="000000"/>
                <w:sz w:val="22"/>
                <w:szCs w:val="22"/>
                <w:lang w:val="en-US" w:eastAsia="zh-CN" w:bidi="en-US"/>
              </w:rPr>
              <w:t>无</w:t>
            </w:r>
          </w:p>
        </w:tc>
      </w:tr>
      <w:tr>
        <w:tblPrEx>
          <w:tblCellMar>
            <w:top w:w="0" w:type="dxa"/>
            <w:left w:w="10" w:type="dxa"/>
            <w:bottom w:w="0" w:type="dxa"/>
            <w:right w:w="10" w:type="dxa"/>
          </w:tblCellMar>
        </w:tblPrEx>
        <w:trPr>
          <w:trHeight w:val="778" w:hRule="exact"/>
          <w:jc w:val="center"/>
        </w:trPr>
        <w:tc>
          <w:tcPr>
            <w:tcW w:w="16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val="0"/>
              <w:snapToGrid w:val="0"/>
              <w:spacing w:after="0" w:line="240" w:lineRule="exact"/>
              <w:ind w:firstLine="0"/>
              <w:jc w:val="center"/>
              <w:textAlignment w:val="auto"/>
              <w:rPr>
                <w:rFonts w:ascii="Times New Roman" w:hAnsi="Times New Roman" w:cs="Times New Roman"/>
                <w:color w:val="000000"/>
                <w:sz w:val="22"/>
                <w:szCs w:val="22"/>
                <w:lang w:val="en-US" w:eastAsia="zh-CN" w:bidi="en-US"/>
              </w:rPr>
            </w:pPr>
            <w:r>
              <w:rPr>
                <w:rFonts w:hint="eastAsia" w:ascii="Times New Roman" w:hAnsi="Times New Roman" w:cs="Times New Roman"/>
                <w:color w:val="000000"/>
                <w:sz w:val="22"/>
                <w:szCs w:val="22"/>
                <w:lang w:val="en-US" w:eastAsia="zh-CN" w:bidi="en-US"/>
              </w:rPr>
              <w:t>MARKS公司</w:t>
            </w:r>
          </w:p>
          <w:p>
            <w:pPr>
              <w:pStyle w:val="8"/>
              <w:keepNext w:val="0"/>
              <w:keepLines w:val="0"/>
              <w:pageBreakBefore w:val="0"/>
              <w:widowControl w:val="0"/>
              <w:kinsoku/>
              <w:wordWrap/>
              <w:overflowPunct/>
              <w:topLinePunct w:val="0"/>
              <w:autoSpaceDE/>
              <w:autoSpaceDN/>
              <w:bidi w:val="0"/>
              <w:adjustRightInd w:val="0"/>
              <w:snapToGrid w:val="0"/>
              <w:spacing w:after="0" w:line="240" w:lineRule="exact"/>
              <w:ind w:firstLine="0"/>
              <w:jc w:val="center"/>
              <w:textAlignment w:val="auto"/>
              <w:rPr>
                <w:rFonts w:ascii="Times New Roman" w:hAnsi="Times New Roman" w:cs="Times New Roman"/>
                <w:color w:val="000000"/>
                <w:sz w:val="22"/>
                <w:szCs w:val="22"/>
                <w:lang w:val="en-US" w:eastAsia="zh-CN" w:bidi="en-US"/>
              </w:rPr>
            </w:pPr>
            <w:r>
              <w:rPr>
                <w:rFonts w:hint="eastAsia" w:ascii="Times New Roman" w:hAnsi="Times New Roman" w:cs="Times New Roman"/>
                <w:color w:val="000000"/>
                <w:sz w:val="22"/>
                <w:szCs w:val="22"/>
                <w:lang w:val="en-US" w:eastAsia="zh-CN" w:bidi="en-US"/>
              </w:rPr>
              <w:t>CIA Advantage-xr</w:t>
            </w:r>
          </w:p>
        </w:tc>
        <w:tc>
          <w:tcPr>
            <w:tcW w:w="4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Times New Roman" w:hAnsi="Times New Roman" w:cs="Times New Roman"/>
                <w:color w:val="FF0000"/>
                <w:sz w:val="22"/>
                <w:szCs w:val="22"/>
                <w:lang w:val="en-US" w:eastAsia="zh-CN" w:bidi="en-US"/>
              </w:rPr>
            </w:pPr>
            <w:r>
              <w:rPr>
                <w:rFonts w:hint="eastAsia" w:ascii="Times New Roman" w:hAnsi="Times New Roman" w:cs="Times New Roman"/>
                <w:color w:val="000000"/>
                <w:sz w:val="22"/>
                <w:szCs w:val="22"/>
                <w:lang w:val="en-US" w:eastAsia="zh-CN" w:bidi="en-US"/>
              </w:rPr>
              <w:t>采用电子制冷，不用液氮</w:t>
            </w:r>
          </w:p>
        </w:tc>
        <w:tc>
          <w:tcPr>
            <w:tcW w:w="21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2"/>
                <w:szCs w:val="22"/>
                <w:lang w:val="en-US" w:eastAsia="zh-CN" w:bidi="en-US"/>
              </w:rPr>
            </w:pPr>
            <w:r>
              <w:rPr>
                <w:rFonts w:hint="eastAsia" w:ascii="Times New Roman" w:hAnsi="Times New Roman" w:cs="Times New Roman"/>
                <w:color w:val="000000"/>
                <w:sz w:val="22"/>
                <w:szCs w:val="22"/>
                <w:lang w:val="en-US" w:eastAsia="zh-CN" w:bidi="en-US"/>
              </w:rPr>
              <w:t>暂不适合</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Times New Roman" w:hAnsi="Times New Roman" w:cs="Times New Roman"/>
                <w:color w:val="FF0000"/>
                <w:sz w:val="22"/>
                <w:szCs w:val="22"/>
                <w:lang w:val="en-US" w:eastAsia="zh-CN" w:bidi="en-US"/>
              </w:rPr>
            </w:pPr>
            <w:r>
              <w:rPr>
                <w:rFonts w:hint="eastAsia" w:ascii="Times New Roman" w:hAnsi="Times New Roman" w:cs="Times New Roman"/>
                <w:color w:val="000000"/>
                <w:sz w:val="22"/>
                <w:szCs w:val="22"/>
                <w:lang w:val="en-US" w:eastAsia="zh-CN" w:bidi="en-US"/>
              </w:rPr>
              <w:t>仪器稳定性较差</w:t>
            </w:r>
          </w:p>
        </w:tc>
      </w:tr>
      <w:tr>
        <w:tblPrEx>
          <w:tblCellMar>
            <w:top w:w="0" w:type="dxa"/>
            <w:left w:w="10" w:type="dxa"/>
            <w:bottom w:w="0" w:type="dxa"/>
            <w:right w:w="10" w:type="dxa"/>
          </w:tblCellMar>
        </w:tblPrEx>
        <w:trPr>
          <w:trHeight w:val="943" w:hRule="exact"/>
          <w:jc w:val="center"/>
        </w:trPr>
        <w:tc>
          <w:tcPr>
            <w:tcW w:w="16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ascii="Times New Roman" w:hAnsi="Times New Roman" w:cs="Times New Roman"/>
                <w:color w:val="000000"/>
                <w:sz w:val="22"/>
                <w:szCs w:val="22"/>
                <w:lang w:val="en-US" w:eastAsia="zh-CN" w:bidi="en-US"/>
              </w:rPr>
            </w:pPr>
            <w:r>
              <w:rPr>
                <w:rFonts w:hint="eastAsia" w:ascii="Times New Roman" w:hAnsi="Times New Roman" w:cs="Times New Roman"/>
                <w:color w:val="000000"/>
                <w:sz w:val="22"/>
                <w:szCs w:val="22"/>
                <w:lang w:val="en-US" w:eastAsia="zh-CN" w:bidi="en-US"/>
              </w:rPr>
              <w:t>NUTECH公司NUTECH8900DS</w:t>
            </w:r>
          </w:p>
        </w:tc>
        <w:tc>
          <w:tcPr>
            <w:tcW w:w="4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FF0000"/>
                <w:sz w:val="22"/>
                <w:szCs w:val="22"/>
                <w:lang w:val="en-US" w:eastAsia="zh-CN" w:bidi="en-US"/>
              </w:rPr>
            </w:pPr>
            <w:r>
              <w:rPr>
                <w:rFonts w:hint="eastAsia" w:ascii="Times New Roman" w:hAnsi="Times New Roman" w:cs="Times New Roman"/>
                <w:color w:val="000000"/>
                <w:sz w:val="22"/>
                <w:szCs w:val="22"/>
                <w:lang w:val="en-US" w:eastAsia="zh-CN" w:bidi="en-US"/>
              </w:rPr>
              <w:t>无</w:t>
            </w:r>
          </w:p>
        </w:tc>
        <w:tc>
          <w:tcPr>
            <w:tcW w:w="210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000000"/>
                <w:sz w:val="22"/>
                <w:szCs w:val="22"/>
                <w:lang w:val="en-US" w:eastAsia="zh-CN" w:bidi="en-US"/>
              </w:rPr>
            </w:pPr>
            <w:r>
              <w:rPr>
                <w:rFonts w:hint="eastAsia" w:ascii="Times New Roman" w:hAnsi="Times New Roman" w:cs="Times New Roman"/>
                <w:color w:val="000000"/>
                <w:sz w:val="22"/>
                <w:szCs w:val="22"/>
                <w:lang w:val="en-US" w:eastAsia="zh-CN" w:bidi="en-US"/>
              </w:rPr>
              <w:t>暂不适合</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Times New Roman" w:hAnsi="Times New Roman" w:cs="Times New Roman"/>
                <w:color w:val="FF0000"/>
                <w:sz w:val="22"/>
                <w:szCs w:val="22"/>
                <w:lang w:val="en-US" w:eastAsia="zh-CN" w:bidi="en-US"/>
              </w:rPr>
            </w:pPr>
            <w:r>
              <w:rPr>
                <w:rFonts w:hint="eastAsia" w:ascii="Times New Roman" w:hAnsi="Times New Roman" w:cs="Times New Roman"/>
                <w:color w:val="000000"/>
                <w:sz w:val="22"/>
                <w:szCs w:val="22"/>
                <w:lang w:val="en-US" w:eastAsia="zh-CN" w:bidi="en-US"/>
              </w:rPr>
              <w:t>仪器稳定性较差</w:t>
            </w:r>
          </w:p>
        </w:tc>
      </w:tr>
      <w:tr>
        <w:tblPrEx>
          <w:tblCellMar>
            <w:top w:w="0" w:type="dxa"/>
            <w:left w:w="10" w:type="dxa"/>
            <w:bottom w:w="0" w:type="dxa"/>
            <w:right w:w="10" w:type="dxa"/>
          </w:tblCellMar>
        </w:tblPrEx>
        <w:trPr>
          <w:trHeight w:val="505" w:hRule="exact"/>
          <w:jc w:val="center"/>
        </w:trPr>
        <w:tc>
          <w:tcPr>
            <w:tcW w:w="9976" w:type="dxa"/>
            <w:gridSpan w:val="6"/>
            <w:tcBorders>
              <w:top w:val="single" w:color="auto" w:sz="4" w:space="0"/>
              <w:left w:val="single" w:color="auto" w:sz="4" w:space="0"/>
              <w:right w:val="single" w:color="auto" w:sz="4" w:space="0"/>
            </w:tcBorders>
            <w:shd w:val="clear" w:color="auto" w:fill="FFFFFF"/>
          </w:tcPr>
          <w:p>
            <w:pPr>
              <w:pStyle w:val="8"/>
              <w:spacing w:after="0" w:line="425" w:lineRule="exact"/>
              <w:ind w:firstLine="0"/>
              <w:jc w:val="left"/>
              <w:rPr>
                <w:sz w:val="28"/>
                <w:szCs w:val="28"/>
                <w:lang w:eastAsia="zh-CN"/>
              </w:rPr>
            </w:pPr>
            <w:r>
              <w:rPr>
                <w:color w:val="000000"/>
                <w:sz w:val="28"/>
                <w:szCs w:val="28"/>
                <w:lang w:eastAsia="zh-CN"/>
              </w:rPr>
              <w:t>同类项目所用仪器设备的优缺点（提供不少于三家制造公司的仪器设备）</w:t>
            </w:r>
          </w:p>
        </w:tc>
      </w:tr>
      <w:tr>
        <w:tblPrEx>
          <w:tblCellMar>
            <w:top w:w="0" w:type="dxa"/>
            <w:left w:w="10" w:type="dxa"/>
            <w:bottom w:w="0" w:type="dxa"/>
            <w:right w:w="10" w:type="dxa"/>
          </w:tblCellMar>
        </w:tblPrEx>
        <w:trPr>
          <w:trHeight w:val="418" w:hRule="exact"/>
          <w:jc w:val="center"/>
        </w:trPr>
        <w:tc>
          <w:tcPr>
            <w:tcW w:w="1651"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类别</w:t>
            </w:r>
          </w:p>
        </w:tc>
        <w:tc>
          <w:tcPr>
            <w:tcW w:w="211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项目</w:t>
            </w:r>
          </w:p>
        </w:tc>
        <w:tc>
          <w:tcPr>
            <w:tcW w:w="223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lang w:val="en-US" w:eastAsia="zh-CN"/>
              </w:rPr>
              <w:t>ENTECH公司</w:t>
            </w:r>
          </w:p>
        </w:tc>
        <w:tc>
          <w:tcPr>
            <w:tcW w:w="184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lang w:val="en-US" w:eastAsia="zh-CN"/>
              </w:rPr>
              <w:t>MARKS公司</w:t>
            </w:r>
          </w:p>
        </w:tc>
        <w:tc>
          <w:tcPr>
            <w:tcW w:w="21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val="en-US"/>
              </w:rPr>
            </w:pPr>
            <w:r>
              <w:rPr>
                <w:rFonts w:hint="eastAsia" w:ascii="黑体" w:hAnsi="黑体" w:eastAsia="黑体" w:cs="黑体"/>
                <w:color w:val="000000"/>
                <w:lang w:val="en-US" w:eastAsia="zh-CN"/>
              </w:rPr>
              <w:t>NUTECH公司</w:t>
            </w:r>
          </w:p>
        </w:tc>
      </w:tr>
      <w:tr>
        <w:tblPrEx>
          <w:tblCellMar>
            <w:top w:w="0" w:type="dxa"/>
            <w:left w:w="10" w:type="dxa"/>
            <w:bottom w:w="0" w:type="dxa"/>
            <w:right w:w="10" w:type="dxa"/>
          </w:tblCellMar>
        </w:tblPrEx>
        <w:trPr>
          <w:trHeight w:val="667" w:hRule="atLeast"/>
          <w:jc w:val="center"/>
        </w:trPr>
        <w:tc>
          <w:tcPr>
            <w:tcW w:w="1651" w:type="dxa"/>
            <w:vMerge w:val="restart"/>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主要性能</w:t>
            </w:r>
          </w:p>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指标</w:t>
            </w:r>
          </w:p>
        </w:tc>
        <w:tc>
          <w:tcPr>
            <w:tcW w:w="8325" w:type="dxa"/>
            <w:gridSpan w:val="5"/>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val="en-US" w:eastAsia="zh-CN"/>
              </w:rPr>
            </w:pPr>
            <w:r>
              <w:rPr>
                <w:rFonts w:hint="eastAsia" w:ascii="仿宋_GB2312" w:hAnsi="仿宋_GB2312" w:eastAsia="仿宋_GB2312" w:cs="仿宋_GB2312"/>
                <w:color w:val="000000"/>
                <w:lang w:eastAsia="zh-CN"/>
              </w:rPr>
              <w:t>生源气体采集及前处理系统</w:t>
            </w:r>
            <w:r>
              <w:rPr>
                <w:rFonts w:hint="eastAsia" w:ascii="仿宋_GB2312" w:hAnsi="仿宋_GB2312" w:eastAsia="仿宋_GB2312" w:cs="仿宋_GB2312"/>
                <w:color w:val="000000"/>
                <w:lang w:val="en-US" w:eastAsia="zh-CN"/>
              </w:rPr>
              <w:t>-大气预浓缩仪</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val="en-US" w:eastAsia="zh-CN"/>
              </w:rPr>
            </w:pPr>
            <w:r>
              <w:rPr>
                <w:rFonts w:hint="eastAsia" w:ascii="黑体" w:hAnsi="黑体" w:eastAsia="黑体" w:cs="黑体"/>
                <w:color w:val="000000"/>
                <w:lang w:val="en-US" w:eastAsia="zh-CN"/>
              </w:rPr>
              <w:t>型号</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lang w:val="en-US" w:eastAsia="zh-CN"/>
              </w:rPr>
              <w:t>ENTECH7200</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lang w:val="en-US" w:eastAsia="zh-CN"/>
              </w:rPr>
              <w:t>CIA Advantage-xr</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lang w:val="en-US" w:eastAsia="zh-CN"/>
              </w:rPr>
              <w:t>NUTECH8910</w:t>
            </w:r>
          </w:p>
        </w:tc>
      </w:tr>
      <w:tr>
        <w:tblPrEx>
          <w:tblCellMar>
            <w:top w:w="0" w:type="dxa"/>
            <w:left w:w="10" w:type="dxa"/>
            <w:bottom w:w="0" w:type="dxa"/>
            <w:right w:w="10" w:type="dxa"/>
          </w:tblCellMar>
        </w:tblPrEx>
        <w:trPr>
          <w:trHeight w:val="911"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val="en-US" w:eastAsia="zh-CN"/>
              </w:rPr>
            </w:pPr>
            <w:r>
              <w:rPr>
                <w:rFonts w:hint="eastAsia" w:ascii="黑体" w:hAnsi="黑体" w:eastAsia="黑体" w:cs="黑体"/>
                <w:color w:val="000000"/>
                <w:lang w:val="en-US" w:eastAsia="zh-CN"/>
              </w:rPr>
              <w:t>样品流路</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仿宋_GB2312" w:hAnsi="仿宋_GB2312" w:eastAsia="仿宋_GB2312" w:cs="仿宋_GB2312"/>
                <w:color w:val="000000"/>
                <w:lang w:eastAsia="zh-CN"/>
              </w:rPr>
              <w:t>4</w:t>
            </w:r>
            <w:r>
              <w:rPr>
                <w:rFonts w:hint="eastAsia" w:ascii="仿宋_GB2312" w:hAnsi="仿宋_GB2312" w:eastAsia="仿宋_GB2312" w:cs="仿宋_GB2312"/>
                <w:color w:val="000000"/>
                <w:lang w:eastAsia="zh-CN"/>
              </w:rPr>
              <w:t>路样品进口，1路标气进口，1路内标气进口</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4路样品进口，1路标气进口，1路内标气进口</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4路样品进口，1路内标气进口，标气进口跟样品进口同一管路</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流量控制技术</w:t>
            </w:r>
          </w:p>
        </w:tc>
        <w:tc>
          <w:tcPr>
            <w:tcW w:w="223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EVC电子体积测量技术；通过测量内置真空罐在进样前后的压差，从而得到精确的进样体积。解决小体积进样误差问题，其次量不受样品内物质影响(如甲烷、C02、</w:t>
            </w:r>
            <w:r>
              <w:rPr>
                <w:rFonts w:hint="eastAsia" w:ascii="仿宋_GB2312" w:hAnsi="仿宋_GB2312" w:eastAsia="仿宋_GB2312" w:cs="仿宋_GB2312"/>
                <w:color w:val="000000"/>
                <w:lang w:val="en-US" w:eastAsia="zh-CN"/>
              </w:rPr>
              <w:t>氦</w:t>
            </w:r>
            <w:r>
              <w:rPr>
                <w:rFonts w:hint="eastAsia" w:ascii="仿宋_GB2312" w:hAnsi="仿宋_GB2312" w:eastAsia="仿宋_GB2312" w:cs="仿宋_GB2312"/>
                <w:color w:val="000000"/>
                <w:lang w:eastAsia="zh-CN"/>
              </w:rPr>
              <w:t>气、</w:t>
            </w:r>
            <w:r>
              <w:rPr>
                <w:rFonts w:hint="eastAsia" w:ascii="仿宋_GB2312" w:hAnsi="仿宋_GB2312" w:eastAsia="仿宋_GB2312" w:cs="仿宋_GB2312"/>
                <w:color w:val="000000"/>
                <w:lang w:val="en-US" w:eastAsia="zh-CN"/>
              </w:rPr>
              <w:t>氢</w:t>
            </w:r>
            <w:r>
              <w:rPr>
                <w:rFonts w:hint="eastAsia" w:ascii="仿宋_GB2312" w:hAnsi="仿宋_GB2312" w:eastAsia="仿宋_GB2312" w:cs="仿宋_GB2312"/>
                <w:color w:val="000000"/>
                <w:lang w:eastAsia="zh-CN"/>
              </w:rPr>
              <w:t>气或</w:t>
            </w:r>
            <w:r>
              <w:rPr>
                <w:rFonts w:hint="eastAsia" w:ascii="仿宋_GB2312" w:hAnsi="仿宋_GB2312" w:eastAsia="仿宋_GB2312" w:cs="仿宋_GB2312"/>
                <w:color w:val="000000"/>
                <w:lang w:val="en-US" w:eastAsia="zh-CN"/>
              </w:rPr>
              <w:t>氩</w:t>
            </w:r>
            <w:r>
              <w:rPr>
                <w:rFonts w:hint="eastAsia" w:ascii="仿宋_GB2312" w:hAnsi="仿宋_GB2312" w:eastAsia="仿宋_GB2312" w:cs="仿宋_GB2312"/>
                <w:color w:val="000000"/>
                <w:lang w:eastAsia="zh-CN"/>
              </w:rPr>
              <w:t>气）,计量体积准确，最后校准方便，在实验室内就可以完成（常压和真空零点2点校准）</w:t>
            </w:r>
          </w:p>
        </w:tc>
        <w:tc>
          <w:tcPr>
            <w:tcW w:w="184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采用MFC质量流量控制技术，对于小体积进样会存在系统误差，其次校准需要把MFC卸下来拿到计量院校准。</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c>
          <w:tcPr>
            <w:tcW w:w="21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MFC 质量流量控制技术。模仿上一代ENTECH7100的间接体积测量进样技术，校准需要把MFC卸下来拿到计量院校准。</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r>
      <w:tr>
        <w:tblPrEx>
          <w:tblCellMar>
            <w:top w:w="0" w:type="dxa"/>
            <w:left w:w="10" w:type="dxa"/>
            <w:bottom w:w="0" w:type="dxa"/>
            <w:right w:w="10" w:type="dxa"/>
          </w:tblCellMar>
        </w:tblPrEx>
        <w:trPr>
          <w:trHeight w:val="3499" w:hRule="atLeast"/>
          <w:jc w:val="center"/>
        </w:trPr>
        <w:tc>
          <w:tcPr>
            <w:tcW w:w="1651" w:type="dxa"/>
            <w:vMerge w:val="continue"/>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工作模式</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有多种工作模</w:t>
            </w:r>
            <w:r>
              <w:rPr>
                <w:rFonts w:hint="eastAsia" w:ascii="仿宋_GB2312" w:hAnsi="仿宋_GB2312" w:eastAsia="仿宋_GB2312" w:cs="仿宋_GB2312"/>
                <w:color w:val="000000"/>
                <w:lang w:val="en-US" w:eastAsia="zh-CN"/>
              </w:rPr>
              <w:t>式：</w:t>
            </w:r>
            <w:r>
              <w:rPr>
                <w:rFonts w:hint="eastAsia" w:ascii="仿宋_GB2312" w:hAnsi="仿宋_GB2312" w:eastAsia="仿宋_GB2312" w:cs="仿宋_GB2312"/>
                <w:color w:val="000000"/>
                <w:lang w:eastAsia="zh-CN"/>
              </w:rPr>
              <w:t>1.ECTD模式。2.T2干吹模式。3.MP&amp;T模式。4.直接柱前冷聚焦。其中经典ECTD三级冷阱模式，T1,T2冷阱仅降-50℃就可以出色去除H20和C02,T3降到-180℃进行聚焦，一次样品分析仅喷2次液氮。其次对于高C02样品，由于除C02在T2,计量准确。</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采用TD热脱富</w:t>
            </w:r>
            <w:r>
              <w:rPr>
                <w:rFonts w:hint="eastAsia" w:ascii="仿宋_GB2312" w:hAnsi="仿宋_GB2312" w:eastAsia="仿宋_GB2312" w:cs="仿宋_GB2312"/>
                <w:color w:val="000000"/>
                <w:lang w:val="en-US" w:eastAsia="zh-CN"/>
              </w:rPr>
              <w:t>技</w:t>
            </w:r>
            <w:r>
              <w:rPr>
                <w:rFonts w:hint="eastAsia" w:ascii="仿宋_GB2312" w:hAnsi="仿宋_GB2312" w:eastAsia="仿宋_GB2312" w:cs="仿宋_GB2312"/>
                <w:color w:val="000000"/>
                <w:lang w:eastAsia="zh-CN"/>
              </w:rPr>
              <w:t>术，对于湿度比</w:t>
            </w:r>
            <w:r>
              <w:rPr>
                <w:rFonts w:hint="eastAsia" w:ascii="仿宋_GB2312" w:hAnsi="仿宋_GB2312" w:eastAsia="仿宋_GB2312" w:cs="仿宋_GB2312"/>
                <w:color w:val="000000"/>
                <w:lang w:val="en-US" w:eastAsia="zh-CN"/>
              </w:rPr>
              <w:t>较</w:t>
            </w:r>
            <w:r>
              <w:rPr>
                <w:rFonts w:hint="eastAsia" w:ascii="仿宋_GB2312" w:hAnsi="仿宋_GB2312" w:eastAsia="仿宋_GB2312" w:cs="仿宋_GB2312"/>
                <w:color w:val="000000"/>
                <w:lang w:eastAsia="zh-CN"/>
              </w:rPr>
              <w:t>大样品，水峰对</w:t>
            </w:r>
            <w:r>
              <w:rPr>
                <w:rFonts w:hint="eastAsia" w:ascii="仿宋_GB2312" w:hAnsi="仿宋_GB2312" w:eastAsia="仿宋_GB2312" w:cs="仿宋_GB2312"/>
                <w:color w:val="000000"/>
                <w:lang w:val="en-US" w:eastAsia="zh-CN"/>
              </w:rPr>
              <w:t>于</w:t>
            </w:r>
            <w:r>
              <w:rPr>
                <w:rFonts w:hint="eastAsia" w:ascii="仿宋_GB2312" w:hAnsi="仿宋_GB2312" w:eastAsia="仿宋_GB2312" w:cs="仿宋_GB2312"/>
                <w:color w:val="000000"/>
                <w:lang w:eastAsia="zh-CN"/>
              </w:rPr>
              <w:t>样品分析会产生很大干扰，其次</w:t>
            </w:r>
            <w:r>
              <w:rPr>
                <w:rFonts w:hint="eastAsia" w:ascii="仿宋_GB2312" w:hAnsi="仿宋_GB2312" w:eastAsia="仿宋_GB2312" w:cs="仿宋_GB2312"/>
                <w:color w:val="000000"/>
                <w:lang w:val="en-US" w:eastAsia="zh-CN"/>
              </w:rPr>
              <w:t>样</w:t>
            </w:r>
            <w:r>
              <w:rPr>
                <w:rFonts w:hint="eastAsia" w:ascii="仿宋_GB2312" w:hAnsi="仿宋_GB2312" w:eastAsia="仿宋_GB2312" w:cs="仿宋_GB2312"/>
                <w:color w:val="000000"/>
                <w:lang w:eastAsia="zh-CN"/>
              </w:rPr>
              <w:t>品中水分会对</w:t>
            </w:r>
            <w:r>
              <w:rPr>
                <w:rFonts w:hint="eastAsia" w:ascii="仿宋_GB2312" w:hAnsi="仿宋_GB2312" w:eastAsia="仿宋_GB2312" w:cs="仿宋_GB2312"/>
                <w:color w:val="000000"/>
                <w:lang w:val="en-US" w:eastAsia="zh-CN"/>
              </w:rPr>
              <w:t>仪</w:t>
            </w:r>
            <w:r>
              <w:rPr>
                <w:rFonts w:hint="eastAsia" w:ascii="仿宋_GB2312" w:hAnsi="仿宋_GB2312" w:eastAsia="仿宋_GB2312" w:cs="仿宋_GB2312"/>
                <w:color w:val="000000"/>
                <w:lang w:eastAsia="zh-CN"/>
              </w:rPr>
              <w:t>器稳定性，色谱</w:t>
            </w:r>
            <w:r>
              <w:rPr>
                <w:rFonts w:hint="eastAsia" w:ascii="仿宋_GB2312" w:hAnsi="仿宋_GB2312" w:eastAsia="仿宋_GB2312" w:cs="仿宋_GB2312"/>
                <w:color w:val="000000"/>
                <w:lang w:val="en-US" w:eastAsia="zh-CN"/>
              </w:rPr>
              <w:t>柱</w:t>
            </w:r>
            <w:r>
              <w:rPr>
                <w:rFonts w:hint="eastAsia" w:ascii="仿宋_GB2312" w:hAnsi="仿宋_GB2312" w:eastAsia="仿宋_GB2312" w:cs="仿宋_GB2312"/>
                <w:color w:val="000000"/>
                <w:lang w:eastAsia="zh-CN"/>
              </w:rPr>
              <w:t>造成损害。</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采样上一代三级冷阱技术，T1(玻璃珠阱）降一190℃，T2降-50℃,T3</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降一190℃聚焦，每个步骤都需要喷</w:t>
            </w:r>
            <w:r>
              <w:rPr>
                <w:rFonts w:hint="eastAsia" w:ascii="仿宋_GB2312" w:hAnsi="仿宋_GB2312" w:eastAsia="仿宋_GB2312" w:cs="仿宋_GB2312"/>
                <w:color w:val="000000"/>
                <w:lang w:val="en-US" w:eastAsia="zh-CN"/>
              </w:rPr>
              <w:t>一</w:t>
            </w:r>
            <w:r>
              <w:rPr>
                <w:rFonts w:hint="eastAsia" w:ascii="仿宋_GB2312" w:hAnsi="仿宋_GB2312" w:eastAsia="仿宋_GB2312" w:cs="仿宋_GB2312"/>
                <w:color w:val="000000"/>
                <w:lang w:eastAsia="zh-CN"/>
              </w:rPr>
              <w:t>次液氮，液氮损耗量大。对于高C02样品，在T1聚焦C02,MFC在T1后计量体积，计量会产生误差。</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旋转阀技术</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采用的是数控多通阀，阀芯可停留在任意“in</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between”位置，可达到完全阻断样品与浓缩仪内的管路包括冷阱，管路及阀芯接触的可能，从而减小样品间相互交叉的可能。</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采用模拟信号</w:t>
            </w:r>
            <w:r>
              <w:rPr>
                <w:rFonts w:hint="eastAsia" w:ascii="仿宋_GB2312" w:hAnsi="仿宋_GB2312" w:eastAsia="仿宋_GB2312" w:cs="仿宋_GB2312"/>
                <w:color w:val="000000"/>
                <w:lang w:val="en-US" w:eastAsia="zh-CN"/>
              </w:rPr>
              <w:t>控</w:t>
            </w:r>
            <w:r>
              <w:rPr>
                <w:rFonts w:hint="eastAsia" w:ascii="仿宋_GB2312" w:hAnsi="仿宋_GB2312" w:eastAsia="仿宋_GB2312" w:cs="仿宋_GB2312"/>
                <w:color w:val="000000"/>
                <w:lang w:eastAsia="zh-CN"/>
              </w:rPr>
              <w:t>制的六通阀和</w:t>
            </w:r>
            <w:r>
              <w:rPr>
                <w:rFonts w:hint="eastAsia" w:ascii="仿宋_GB2312" w:hAnsi="仿宋_GB2312" w:eastAsia="仿宋_GB2312" w:cs="仿宋_GB2312"/>
                <w:color w:val="000000"/>
                <w:lang w:val="en-US" w:eastAsia="zh-CN"/>
              </w:rPr>
              <w:t>电</w:t>
            </w:r>
            <w:r>
              <w:rPr>
                <w:rFonts w:hint="eastAsia" w:ascii="仿宋_GB2312" w:hAnsi="仿宋_GB2312" w:eastAsia="仿宋_GB2312" w:cs="仿宋_GB2312"/>
                <w:color w:val="000000"/>
                <w:lang w:eastAsia="zh-CN"/>
              </w:rPr>
              <w:t>磁阀技术，无样反冲技术，对于</w:t>
            </w:r>
            <w:r>
              <w:rPr>
                <w:rFonts w:hint="eastAsia" w:ascii="仿宋_GB2312" w:hAnsi="仿宋_GB2312" w:eastAsia="仿宋_GB2312" w:cs="仿宋_GB2312"/>
                <w:color w:val="000000"/>
                <w:lang w:val="en-US" w:eastAsia="zh-CN"/>
              </w:rPr>
              <w:t>高</w:t>
            </w:r>
            <w:r>
              <w:rPr>
                <w:rFonts w:hint="eastAsia" w:ascii="仿宋_GB2312" w:hAnsi="仿宋_GB2312" w:eastAsia="仿宋_GB2312" w:cs="仿宋_GB2312"/>
                <w:color w:val="000000"/>
                <w:lang w:eastAsia="zh-CN"/>
              </w:rPr>
              <w:t>浓度样品，会存</w:t>
            </w:r>
            <w:r>
              <w:rPr>
                <w:rFonts w:hint="eastAsia" w:ascii="仿宋_GB2312" w:hAnsi="仿宋_GB2312" w:eastAsia="仿宋_GB2312" w:cs="仿宋_GB2312"/>
                <w:color w:val="000000"/>
                <w:lang w:val="en-US" w:eastAsia="zh-CN"/>
              </w:rPr>
              <w:t>在</w:t>
            </w:r>
            <w:r>
              <w:rPr>
                <w:rFonts w:hint="eastAsia" w:ascii="仿宋_GB2312" w:hAnsi="仿宋_GB2312" w:eastAsia="仿宋_GB2312" w:cs="仿宋_GB2312"/>
                <w:color w:val="000000"/>
                <w:lang w:eastAsia="zh-CN"/>
              </w:rPr>
              <w:t>较差污染问题。</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采用模拟信号控制的六通阀和电磁阀，而六通阀无法控制停留在任意的位置，从而无法完全隔离样品与浓缩仪内管路与冷阱，当样品浓度稍高时，存在交叉污染。</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r>
      <w:tr>
        <w:tblPrEx>
          <w:tblCellMar>
            <w:top w:w="0" w:type="dxa"/>
            <w:left w:w="10" w:type="dxa"/>
            <w:bottom w:w="0" w:type="dxa"/>
            <w:right w:w="10" w:type="dxa"/>
          </w:tblCellMar>
        </w:tblPrEx>
        <w:trPr>
          <w:trHeight w:val="90"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样品管径惰性处理技术</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全管路熔融硅陶瓷涂层惰生性化处理技术，高沸点VOCs和极性强的VOCs有更好的回收和检出限。</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硅烷化硅钢管路</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硅烷化硅钢管路，抛光不锈钢及铜管线。</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整体系统管路</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内部管线采用3D软件设计，最优化的管路，减少样品分析死体积，减少管路冷凝点。任何一台预浓缩同位置管线长度及弯度都一致，系统误差一致。其次维修方便，根据具体位置定管线，接连无死体积，跟换方便。</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内部管线经过软件设计，减少分析死体积，减少管路冷凝点。同位置管线长度及弯度一致，系统误差一致。其次维修方便，根据具体位置定管线，接连无死体积</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所有管线长度弯度人工组装，内部管线错乱，不同仪器相同样品系统误差差异大。其次，管线错乱，查找原因麻烦，维修不方便。</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控制软件</w:t>
            </w:r>
          </w:p>
        </w:tc>
        <w:tc>
          <w:tcPr>
            <w:tcW w:w="223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val="en-US" w:eastAsia="zh-CN"/>
              </w:rPr>
              <w:t>S</w:t>
            </w:r>
            <w:r>
              <w:rPr>
                <w:rFonts w:hint="eastAsia" w:ascii="仿宋_GB2312" w:hAnsi="仿宋_GB2312" w:eastAsia="仿宋_GB2312" w:cs="仿宋_GB2312"/>
                <w:color w:val="000000"/>
                <w:lang w:eastAsia="zh-CN"/>
              </w:rPr>
              <w:t>mart Lab 2A软件，界面友好，样品分析运行步骤可以很直观查看。可自动记录运行过程中的关键参数，这些参数以数据库的形式保存，很方便实验室信息管理，并且所有的参数都能转化为报告文档。</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c>
          <w:tcPr>
            <w:tcW w:w="184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专用软件，界面友好，样品分析运行步骤可以很直观查看。可自动记录运行过程中的关</w:t>
            </w:r>
            <w:r>
              <w:rPr>
                <w:rFonts w:hint="eastAsia" w:ascii="仿宋_GB2312" w:hAnsi="仿宋_GB2312" w:eastAsia="仿宋_GB2312" w:cs="仿宋_GB2312"/>
                <w:color w:val="000000"/>
                <w:lang w:val="en-US" w:eastAsia="zh-CN"/>
              </w:rPr>
              <w:t>键</w:t>
            </w:r>
            <w:r>
              <w:rPr>
                <w:rFonts w:hint="eastAsia" w:ascii="仿宋_GB2312" w:hAnsi="仿宋_GB2312" w:eastAsia="仿宋_GB2312" w:cs="仿宋_GB2312"/>
                <w:color w:val="000000"/>
                <w:lang w:eastAsia="zh-CN"/>
              </w:rPr>
              <w:t>参数，这些参数以数据库的形式保存。</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c>
          <w:tcPr>
            <w:tcW w:w="21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专用软件，界面相对比较粗糙，仅仅显示仪器运行状态和记录数据。对于现代实验室管理智能化要求有一些差距。</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val="en-US" w:eastAsia="zh-CN"/>
              </w:rPr>
            </w:pPr>
            <w:r>
              <w:rPr>
                <w:rFonts w:hint="eastAsia" w:ascii="黑体" w:hAnsi="黑体" w:eastAsia="黑体" w:cs="黑体"/>
                <w:color w:val="000000"/>
                <w:lang w:eastAsia="zh-CN"/>
              </w:rPr>
              <w:t>重现性</w:t>
            </w:r>
            <w:r>
              <w:rPr>
                <w:rFonts w:hint="eastAsia" w:ascii="黑体" w:hAnsi="黑体" w:eastAsia="黑体" w:cs="黑体"/>
                <w:color w:val="000000"/>
                <w:lang w:val="en-US" w:eastAsia="zh-CN"/>
              </w:rPr>
              <w:t>RDS</w:t>
            </w:r>
          </w:p>
        </w:tc>
        <w:tc>
          <w:tcPr>
            <w:tcW w:w="223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RSD&lt;3%(进样量50ml，样品浓度低于1ppb)</w:t>
            </w:r>
          </w:p>
        </w:tc>
        <w:tc>
          <w:tcPr>
            <w:tcW w:w="184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RSD≤5%(进样量50ml,样品浓度低于1ppb)</w:t>
            </w:r>
          </w:p>
        </w:tc>
        <w:tc>
          <w:tcPr>
            <w:tcW w:w="21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RSD≤5%(进样量50ml,样品浓度低于1ppb)</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采样压力</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(负压）7psia-40psig</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(负压）8psia-35psig</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(负压）8psia-35psig</w:t>
            </w:r>
          </w:p>
        </w:tc>
      </w:tr>
      <w:tr>
        <w:tblPrEx>
          <w:tblCellMar>
            <w:top w:w="0" w:type="dxa"/>
            <w:left w:w="10" w:type="dxa"/>
            <w:bottom w:w="0" w:type="dxa"/>
            <w:right w:w="10" w:type="dxa"/>
          </w:tblCellMar>
        </w:tblPrEx>
        <w:trPr>
          <w:trHeight w:val="522" w:hRule="atLeast"/>
          <w:jc w:val="center"/>
        </w:trPr>
        <w:tc>
          <w:tcPr>
            <w:tcW w:w="1651" w:type="dxa"/>
            <w:vMerge w:val="restart"/>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除水率</w:t>
            </w:r>
          </w:p>
        </w:tc>
        <w:tc>
          <w:tcPr>
            <w:tcW w:w="223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≥99.3%</w:t>
            </w:r>
          </w:p>
        </w:tc>
        <w:tc>
          <w:tcPr>
            <w:tcW w:w="184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≥96%</w:t>
            </w:r>
          </w:p>
        </w:tc>
        <w:tc>
          <w:tcPr>
            <w:tcW w:w="21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≥90%</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系统捡漏技术</w:t>
            </w:r>
          </w:p>
        </w:tc>
        <w:tc>
          <w:tcPr>
            <w:tcW w:w="223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具有加压与真空两种检漏模式（可直观的查看到实际压力的变化）</w:t>
            </w:r>
          </w:p>
        </w:tc>
        <w:tc>
          <w:tcPr>
            <w:tcW w:w="184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真空检漏</w:t>
            </w:r>
          </w:p>
        </w:tc>
        <w:tc>
          <w:tcPr>
            <w:tcW w:w="21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真空检漏</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val="en-US" w:eastAsia="zh-CN"/>
              </w:rPr>
            </w:pPr>
            <w:r>
              <w:rPr>
                <w:rFonts w:hint="eastAsia" w:ascii="黑体" w:hAnsi="黑体" w:eastAsia="黑体" w:cs="黑体"/>
                <w:color w:val="000000"/>
                <w:lang w:val="en-US" w:eastAsia="zh-CN"/>
              </w:rPr>
              <w:t>QA/QC追溯报告</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可查看所有关键的数据如实际样品，内标，校准标的采样体积，流量。每个区域的控制温度等所有参数</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无此功能</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记录信息简单，仅进样压力，体积及运行时间等</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8325" w:type="dxa"/>
            <w:gridSpan w:val="5"/>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val="en-US" w:eastAsia="zh-CN"/>
              </w:rPr>
            </w:pPr>
            <w:r>
              <w:rPr>
                <w:rFonts w:hint="eastAsia" w:ascii="黑体" w:hAnsi="黑体" w:eastAsia="黑体" w:cs="黑体"/>
                <w:color w:val="000000"/>
                <w:lang w:eastAsia="zh-CN"/>
              </w:rPr>
              <w:t>生源气体采集及前处理系统</w:t>
            </w:r>
            <w:r>
              <w:rPr>
                <w:rFonts w:hint="eastAsia" w:ascii="黑体" w:hAnsi="黑体" w:eastAsia="黑体" w:cs="黑体"/>
                <w:color w:val="000000"/>
                <w:lang w:val="en-US" w:eastAsia="zh-CN"/>
              </w:rPr>
              <w:t>-自动稀释液仪</w:t>
            </w:r>
          </w:p>
        </w:tc>
      </w:tr>
      <w:tr>
        <w:tblPrEx>
          <w:tblCellMar>
            <w:top w:w="0" w:type="dxa"/>
            <w:left w:w="10" w:type="dxa"/>
            <w:bottom w:w="0" w:type="dxa"/>
            <w:right w:w="10" w:type="dxa"/>
          </w:tblCellMar>
        </w:tblPrEx>
        <w:trPr>
          <w:trHeight w:val="542"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型号</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ENTECH4700</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SD6000</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NUTECH2203</w:t>
            </w:r>
          </w:p>
        </w:tc>
      </w:tr>
      <w:tr>
        <w:tblPrEx>
          <w:tblCellMar>
            <w:top w:w="0" w:type="dxa"/>
            <w:left w:w="10" w:type="dxa"/>
            <w:bottom w:w="0" w:type="dxa"/>
            <w:right w:w="10" w:type="dxa"/>
          </w:tblCellMar>
        </w:tblPrEx>
        <w:trPr>
          <w:trHeight w:val="542"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流</w:t>
            </w:r>
            <w:r>
              <w:rPr>
                <w:rFonts w:hint="eastAsia" w:ascii="黑体" w:hAnsi="黑体" w:eastAsia="黑体" w:cs="黑体"/>
                <w:color w:val="000000"/>
                <w:lang w:val="en-US" w:eastAsia="zh-CN"/>
              </w:rPr>
              <w:t>量</w:t>
            </w:r>
            <w:r>
              <w:rPr>
                <w:rFonts w:hint="eastAsia" w:ascii="黑体" w:hAnsi="黑体" w:eastAsia="黑体" w:cs="黑体"/>
                <w:color w:val="000000"/>
                <w:lang w:eastAsia="zh-CN"/>
              </w:rPr>
              <w:t>通道</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6个流路通道</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2个流路通道</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5个流路通道</w:t>
            </w:r>
          </w:p>
        </w:tc>
      </w:tr>
      <w:tr>
        <w:tblPrEx>
          <w:tblCellMar>
            <w:top w:w="0" w:type="dxa"/>
            <w:left w:w="10" w:type="dxa"/>
            <w:bottom w:w="0" w:type="dxa"/>
            <w:right w:w="10" w:type="dxa"/>
          </w:tblCellMar>
        </w:tblPrEx>
        <w:trPr>
          <w:trHeight w:val="470"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配气技术</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压差控流技术</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压差控流技术</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质量流量计技术</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稀释倍数</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稀释倍数可大于10000倍</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稀释倍数可大于1000倍</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1000倍</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制备标气数量</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1ppm的0.8L的标准标气瓶可填充10000个6L的1ppb的标样（最终压力25pisa)</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1ppm的0.8L的标准标气瓶可填充10000个6L的lppb的标样（最终压力25pisa)</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1ppm的0.8L的标准标气瓶可填充500-1000个6L的1ppb的标样（最终压力25pisa)</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空气样品稀释功能</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可实现对常压空气样品自动稀释，单次稀释倍数能达到100倍</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可实现对常压空气样品自动稀释，单次稀释倍数能达到100倍</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可实现对常压空气样品自动稀释，单次稀释倍数能达到3倍</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样品管径惰性处理技术</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全管路熔融硅陶瓷涂层惰性化处理技术，高沸点VOCs和极性强的VOCs有更好的回收和检出限。</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硅烷化硅钢管路</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硅烷化硅钢管路，抛光不锈钢及铜管线。</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配气报告</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报告中体现出罐子编号、罐子体积、稀释压力、稀释倍数、稀释浓度、标气有效期、配气人员等信息</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报告中体现出罐子编号、罐子体积、稀释浓度、标气有效期、配气人员等信息</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报告中体现罐子体积、稀释倍数、稀释浓度等信息</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r>
      <w:tr>
        <w:tblPrEx>
          <w:tblCellMar>
            <w:top w:w="0" w:type="dxa"/>
            <w:left w:w="10" w:type="dxa"/>
            <w:bottom w:w="0" w:type="dxa"/>
            <w:right w:w="10" w:type="dxa"/>
          </w:tblCellMar>
        </w:tblPrEx>
        <w:trPr>
          <w:trHeight w:val="502" w:hRule="atLeast"/>
          <w:jc w:val="center"/>
        </w:trPr>
        <w:tc>
          <w:tcPr>
            <w:tcW w:w="1651" w:type="dxa"/>
            <w:vMerge w:val="restart"/>
            <w:tcBorders>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有无污染废气</w:t>
            </w:r>
          </w:p>
        </w:tc>
        <w:tc>
          <w:tcPr>
            <w:tcW w:w="223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没有废气排除</w:t>
            </w:r>
          </w:p>
        </w:tc>
        <w:tc>
          <w:tcPr>
            <w:tcW w:w="184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没有废气排除</w:t>
            </w:r>
          </w:p>
        </w:tc>
        <w:tc>
          <w:tcPr>
            <w:tcW w:w="21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有废气排除</w:t>
            </w:r>
          </w:p>
        </w:tc>
      </w:tr>
      <w:tr>
        <w:tblPrEx>
          <w:tblCellMar>
            <w:top w:w="0" w:type="dxa"/>
            <w:left w:w="10" w:type="dxa"/>
            <w:bottom w:w="0" w:type="dxa"/>
            <w:right w:w="10" w:type="dxa"/>
          </w:tblCellMar>
        </w:tblPrEx>
        <w:trPr>
          <w:trHeight w:val="477" w:hRule="atLeast"/>
          <w:jc w:val="center"/>
        </w:trPr>
        <w:tc>
          <w:tcPr>
            <w:tcW w:w="1651" w:type="dxa"/>
            <w:vMerge w:val="continue"/>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832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val="en-US" w:eastAsia="zh-CN"/>
              </w:rPr>
            </w:pPr>
            <w:r>
              <w:rPr>
                <w:rFonts w:hint="eastAsia" w:ascii="黑体" w:hAnsi="黑体" w:eastAsia="黑体" w:cs="黑体"/>
                <w:color w:val="000000"/>
                <w:lang w:eastAsia="zh-CN"/>
              </w:rPr>
              <w:t>生源气体采集及前处理系统</w:t>
            </w:r>
            <w:r>
              <w:rPr>
                <w:rFonts w:hint="eastAsia" w:ascii="黑体" w:hAnsi="黑体" w:eastAsia="黑体" w:cs="黑体"/>
                <w:color w:val="000000"/>
                <w:lang w:val="en-US" w:eastAsia="zh-CN"/>
              </w:rPr>
              <w:t>-自动清罐仪</w:t>
            </w:r>
          </w:p>
        </w:tc>
      </w:tr>
      <w:tr>
        <w:tblPrEx>
          <w:tblCellMar>
            <w:top w:w="0" w:type="dxa"/>
            <w:left w:w="10" w:type="dxa"/>
            <w:bottom w:w="0" w:type="dxa"/>
            <w:right w:w="10" w:type="dxa"/>
          </w:tblCellMar>
        </w:tblPrEx>
        <w:trPr>
          <w:trHeight w:val="487" w:hRule="atLeast"/>
          <w:jc w:val="center"/>
        </w:trPr>
        <w:tc>
          <w:tcPr>
            <w:tcW w:w="1651" w:type="dxa"/>
            <w:vMerge w:val="continue"/>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型号</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ENTECH3100D</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VC6000</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NUTECH2104</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罐清洗数量</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可同时对8个6升的采样罐加热加湿清洗</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可同时对4个6升的采样罐加热加湿清洗</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可同时对8个6升的采样罐加热加湿清洗</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清洗真空度</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≤10mTorr(可自由设置保持不低于10min)</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≤50mTorr</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≤50mTorr</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防交叉污染措施</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管路反冲洗。其次排气气路与充气气路相互独立</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管路反冲洗。其次排气气路与充气气路相互独立</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管路反冲洗。但是排气气路与充气气路是同一管路</w:t>
            </w: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系统保护措施</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由于系统漏气导致分子涡轮泵转速下降超过5分钟(可自由设置时间）时，系统可自动关闭分子涡轮。</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无此功能</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无此功能</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r>
      <w:tr>
        <w:tblPrEx>
          <w:tblCellMar>
            <w:top w:w="0" w:type="dxa"/>
            <w:left w:w="10" w:type="dxa"/>
            <w:bottom w:w="0" w:type="dxa"/>
            <w:right w:w="10" w:type="dxa"/>
          </w:tblCellMar>
        </w:tblPrEx>
        <w:trPr>
          <w:trHeight w:val="90"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分子涡轮本报护措施</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为了保护分子涡轮泵，当系统软件关闭时，可设置分子涡轮泵自动关闭。</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无此功能</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无此功能</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r>
      <w:tr>
        <w:tblPrEx>
          <w:tblCellMar>
            <w:top w:w="0" w:type="dxa"/>
            <w:left w:w="10" w:type="dxa"/>
            <w:bottom w:w="0" w:type="dxa"/>
            <w:right w:w="10" w:type="dxa"/>
          </w:tblCellMar>
        </w:tblPrEx>
        <w:trPr>
          <w:trHeight w:val="667"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r>
              <w:rPr>
                <w:rFonts w:hint="eastAsia" w:ascii="黑体" w:hAnsi="黑体" w:eastAsia="黑体" w:cs="黑体"/>
                <w:color w:val="000000"/>
                <w:lang w:eastAsia="zh-CN"/>
              </w:rPr>
              <w:t>样品管径惰性处理技术</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全管路熔融硅陶瓷涂层惰性化处理技术，高沸点VOCs和极性强的VOCs有更好的回收和检出限。</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硅烷化硅钢管路</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硅烷化硅钢管路，抛光不锈钢及铜管线。</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r>
      <w:tr>
        <w:tblPrEx>
          <w:tblCellMar>
            <w:top w:w="0" w:type="dxa"/>
            <w:left w:w="10" w:type="dxa"/>
            <w:bottom w:w="0" w:type="dxa"/>
            <w:right w:w="10" w:type="dxa"/>
          </w:tblCellMar>
        </w:tblPrEx>
        <w:trPr>
          <w:trHeight w:val="667" w:hRule="atLeast"/>
          <w:jc w:val="center"/>
        </w:trPr>
        <w:tc>
          <w:tcPr>
            <w:tcW w:w="1651" w:type="dxa"/>
            <w:vMerge w:val="restart"/>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市场情况</w:t>
            </w:r>
          </w:p>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和价格比</w:t>
            </w:r>
          </w:p>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较</w:t>
            </w: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市场情况</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目前市场占有率90%以上，国内知名高校科研院所都采用此品牌</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市场占有率5%左右，偏向第三方监测机构及企业</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市场占有率5%左右，偏向第三方监测机构及企业</w:t>
            </w:r>
          </w:p>
        </w:tc>
      </w:tr>
      <w:tr>
        <w:tblPrEx>
          <w:tblCellMar>
            <w:top w:w="0" w:type="dxa"/>
            <w:left w:w="10" w:type="dxa"/>
            <w:bottom w:w="0" w:type="dxa"/>
            <w:right w:w="10" w:type="dxa"/>
          </w:tblCellMar>
        </w:tblPrEx>
        <w:trPr>
          <w:trHeight w:val="452" w:hRule="atLeast"/>
          <w:jc w:val="center"/>
        </w:trPr>
        <w:tc>
          <w:tcPr>
            <w:tcW w:w="1651" w:type="dxa"/>
            <w:vMerge w:val="continue"/>
            <w:tcBorders>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lang w:eastAsia="zh-CN"/>
              </w:rPr>
            </w:pPr>
          </w:p>
        </w:tc>
        <w:tc>
          <w:tcPr>
            <w:tcW w:w="211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价格</w:t>
            </w:r>
          </w:p>
        </w:tc>
        <w:tc>
          <w:tcPr>
            <w:tcW w:w="223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高</w:t>
            </w:r>
          </w:p>
        </w:tc>
        <w:tc>
          <w:tcPr>
            <w:tcW w:w="1845" w:type="dxa"/>
            <w:tcBorders>
              <w:top w:val="single" w:color="auto" w:sz="4" w:space="0"/>
              <w:lef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中等</w:t>
            </w:r>
          </w:p>
        </w:tc>
        <w:tc>
          <w:tcPr>
            <w:tcW w:w="2130" w:type="dxa"/>
            <w:gridSpan w:val="2"/>
            <w:tcBorders>
              <w:top w:val="single" w:color="auto" w:sz="4" w:space="0"/>
              <w:left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低</w:t>
            </w:r>
          </w:p>
        </w:tc>
      </w:tr>
      <w:tr>
        <w:tblPrEx>
          <w:tblCellMar>
            <w:top w:w="0" w:type="dxa"/>
            <w:left w:w="10" w:type="dxa"/>
            <w:bottom w:w="0" w:type="dxa"/>
            <w:right w:w="10" w:type="dxa"/>
          </w:tblCellMar>
        </w:tblPrEx>
        <w:trPr>
          <w:trHeight w:val="2872" w:hRule="exact"/>
          <w:jc w:val="center"/>
        </w:trPr>
        <w:tc>
          <w:tcPr>
            <w:tcW w:w="1651"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售后服务</w:t>
            </w:r>
          </w:p>
        </w:tc>
        <w:tc>
          <w:tcPr>
            <w:tcW w:w="211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技术支持及</w:t>
            </w:r>
          </w:p>
          <w:p>
            <w:pPr>
              <w:pStyle w:val="8"/>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服务响应</w:t>
            </w:r>
          </w:p>
        </w:tc>
        <w:tc>
          <w:tcPr>
            <w:tcW w:w="223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有一批中高级职称专业队伍，厂家技术团队主导参与制定国家级检测标准，对于用户应用方面能提供专业技术支持全国售后服务队伍将近40人</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在福建有售后服务网，有专职售后工程师</w:t>
            </w:r>
          </w:p>
        </w:tc>
        <w:tc>
          <w:tcPr>
            <w:tcW w:w="1845" w:type="dxa"/>
            <w:tcBorders>
              <w:top w:val="single" w:color="auto" w:sz="4" w:space="0"/>
              <w:left w:val="single" w:color="auto" w:sz="4" w:space="0"/>
              <w:bottom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售后队伍不稳定，仅参与一些方法验证</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全国售后工程师10人左右，基本集中上海目前在福建无工程师</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c>
          <w:tcPr>
            <w:tcW w:w="21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lang w:eastAsia="zh-CN"/>
              </w:rPr>
              <w:t>售后队伍不稳定，仅参与一些方法验证全国售后工程师10人左右，基本集中深圳目前在福建无工程师，响应较慢</w:t>
            </w: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p>
            <w:pPr>
              <w:pStyle w:val="8"/>
              <w:adjustRightInd w:val="0"/>
              <w:snapToGrid w:val="0"/>
              <w:spacing w:after="0" w:line="240" w:lineRule="auto"/>
              <w:ind w:firstLine="0"/>
              <w:jc w:val="center"/>
              <w:rPr>
                <w:rFonts w:hint="eastAsia" w:ascii="仿宋_GB2312" w:hAnsi="仿宋_GB2312" w:eastAsia="仿宋_GB2312" w:cs="仿宋_GB2312"/>
                <w:color w:val="000000"/>
                <w:lang w:eastAsia="zh-CN"/>
              </w:rPr>
            </w:pPr>
          </w:p>
        </w:tc>
      </w:tr>
    </w:tbl>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ascii="黑体" w:hAnsi="黑体" w:eastAsia="黑体" w:cs="黑体"/>
          <w:color w:val="000000"/>
          <w:sz w:val="32"/>
          <w:szCs w:val="32"/>
          <w:lang w:bidi="zh-TW"/>
        </w:rPr>
      </w:pPr>
      <w:r>
        <w:rPr>
          <w:rFonts w:hint="eastAsia" w:ascii="黑体" w:hAnsi="黑体" w:eastAsia="黑体" w:cs="黑体"/>
          <w:color w:val="000000"/>
          <w:sz w:val="32"/>
          <w:szCs w:val="32"/>
          <w:lang w:bidi="zh-TW"/>
        </w:rPr>
        <w:t>四、条件准备情况</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1</w:t>
      </w:r>
      <w:r>
        <w:rPr>
          <w:rFonts w:hint="eastAsia" w:ascii="仿宋_GB2312" w:hAnsi="仿宋_GB2312" w:eastAsia="仿宋_GB2312" w:cs="仿宋_GB2312"/>
          <w:color w:val="000000"/>
          <w:sz w:val="32"/>
          <w:szCs w:val="32"/>
          <w:lang w:val="en-US" w:eastAsia="zh-CN" w:bidi="zh-TW"/>
        </w:rPr>
        <w:t>.</w:t>
      </w:r>
      <w:r>
        <w:rPr>
          <w:rFonts w:hint="eastAsia" w:ascii="仿宋_GB2312" w:hAnsi="仿宋_GB2312" w:eastAsia="仿宋_GB2312" w:cs="仿宋_GB2312"/>
          <w:color w:val="000000"/>
          <w:sz w:val="32"/>
          <w:szCs w:val="32"/>
          <w:lang w:bidi="zh-TW"/>
        </w:rPr>
        <w:t>水</w:t>
      </w:r>
      <w:r>
        <w:rPr>
          <w:rFonts w:hint="eastAsia" w:ascii="仿宋_GB2312" w:hAnsi="仿宋_GB2312" w:eastAsia="仿宋_GB2312" w:cs="仿宋_GB2312"/>
          <w:color w:val="000000"/>
          <w:sz w:val="32"/>
          <w:szCs w:val="32"/>
          <w:lang w:eastAsia="zh-CN" w:bidi="zh-TW"/>
        </w:rPr>
        <w:t>、</w:t>
      </w:r>
      <w:r>
        <w:rPr>
          <w:rFonts w:hint="eastAsia" w:ascii="仿宋_GB2312" w:hAnsi="仿宋_GB2312" w:eastAsia="仿宋_GB2312" w:cs="仿宋_GB2312"/>
          <w:color w:val="000000"/>
          <w:sz w:val="32"/>
          <w:szCs w:val="32"/>
          <w:lang w:bidi="zh-TW"/>
        </w:rPr>
        <w:t>电</w:t>
      </w:r>
      <w:r>
        <w:rPr>
          <w:rFonts w:hint="eastAsia" w:ascii="仿宋_GB2312" w:hAnsi="仿宋_GB2312" w:eastAsia="仿宋_GB2312" w:cs="仿宋_GB2312"/>
          <w:color w:val="000000"/>
          <w:sz w:val="32"/>
          <w:szCs w:val="32"/>
          <w:lang w:eastAsia="zh-CN" w:bidi="zh-TW"/>
        </w:rPr>
        <w:t>、</w:t>
      </w:r>
      <w:r>
        <w:rPr>
          <w:rFonts w:hint="eastAsia" w:ascii="仿宋_GB2312" w:hAnsi="仿宋_GB2312" w:eastAsia="仿宋_GB2312" w:cs="仿宋_GB2312"/>
          <w:color w:val="000000"/>
          <w:sz w:val="32"/>
          <w:szCs w:val="32"/>
          <w:lang w:bidi="zh-TW"/>
        </w:rPr>
        <w:t>气需求和保障情况</w:t>
      </w:r>
      <w:r>
        <w:rPr>
          <w:rFonts w:hint="eastAsia" w:ascii="仿宋_GB2312" w:hAnsi="仿宋_GB2312" w:eastAsia="仿宋_GB2312" w:cs="仿宋_GB2312"/>
          <w:color w:val="000000"/>
          <w:sz w:val="32"/>
          <w:szCs w:val="32"/>
          <w:lang w:eastAsia="zh-CN" w:bidi="zh-TW"/>
        </w:rPr>
        <w:t>：</w:t>
      </w:r>
      <w:r>
        <w:rPr>
          <w:rFonts w:hint="eastAsia" w:ascii="仿宋_GB2312" w:hAnsi="仿宋_GB2312" w:eastAsia="仿宋_GB2312" w:cs="仿宋_GB2312"/>
          <w:color w:val="000000"/>
          <w:sz w:val="32"/>
          <w:szCs w:val="32"/>
          <w:lang w:bidi="zh-TW"/>
        </w:rPr>
        <w:t>无特殊需求。</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2.配套设备需求和保障情况：电脑，ups电源等，即时配备。</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3.对安全保护有何要求：更换液氮需要佩戴防冻手套和保护面罩。</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ascii="黑体" w:hAnsi="黑体" w:eastAsia="黑体" w:cs="黑体"/>
          <w:color w:val="000000"/>
          <w:sz w:val="32"/>
          <w:szCs w:val="32"/>
          <w:lang w:bidi="zh-TW"/>
        </w:rPr>
      </w:pPr>
      <w:r>
        <w:rPr>
          <w:rFonts w:hint="eastAsia" w:ascii="黑体" w:hAnsi="黑体" w:eastAsia="黑体" w:cs="黑体"/>
          <w:color w:val="000000"/>
          <w:sz w:val="32"/>
          <w:szCs w:val="32"/>
          <w:lang w:bidi="zh-TW"/>
        </w:rPr>
        <w:t>五、可能存在的安全性问题</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auto"/>
        <w:rPr>
          <w:rFonts w:hint="eastAsia"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对环保、安全有何影响及预</w:t>
      </w:r>
      <w:bookmarkStart w:id="0" w:name="_GoBack"/>
      <w:bookmarkEnd w:id="0"/>
      <w:r>
        <w:rPr>
          <w:rFonts w:hint="eastAsia" w:ascii="仿宋_GB2312" w:hAnsi="仿宋_GB2312" w:eastAsia="仿宋_GB2312" w:cs="仿宋_GB2312"/>
          <w:color w:val="000000"/>
          <w:sz w:val="32"/>
          <w:szCs w:val="32"/>
          <w:lang w:bidi="zh-TW"/>
        </w:rPr>
        <w:t>防措施等：无影响，无需特别措施。</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9"/>
                            <w:jc w:val="left"/>
                            <w:rPr>
                              <w:sz w:val="18"/>
                              <w:szCs w:val="18"/>
                            </w:rPr>
                          </w:pPr>
                          <w:r>
                            <w:rPr>
                              <w:rFonts w:ascii="Times New Roman" w:hAnsi="Times New Roman" w:eastAsia="Times New Roman" w:cs="Times New Roman"/>
                              <w:color w:val="00000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9"/>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415777"/>
    <w:rsid w:val="00585395"/>
    <w:rsid w:val="008D59AE"/>
    <w:rsid w:val="00AC0669"/>
    <w:rsid w:val="00E85898"/>
    <w:rsid w:val="00EB7E60"/>
    <w:rsid w:val="01EA0E83"/>
    <w:rsid w:val="0301396B"/>
    <w:rsid w:val="05154E61"/>
    <w:rsid w:val="070F712A"/>
    <w:rsid w:val="09C0105E"/>
    <w:rsid w:val="0A842BDA"/>
    <w:rsid w:val="0ACD3951"/>
    <w:rsid w:val="0C2107A9"/>
    <w:rsid w:val="0CF462EF"/>
    <w:rsid w:val="108F4BD1"/>
    <w:rsid w:val="11C95F9C"/>
    <w:rsid w:val="1209283C"/>
    <w:rsid w:val="130628D8"/>
    <w:rsid w:val="15AC2C25"/>
    <w:rsid w:val="1E592455"/>
    <w:rsid w:val="1FBB33A3"/>
    <w:rsid w:val="22FE5C27"/>
    <w:rsid w:val="23201794"/>
    <w:rsid w:val="240E07A9"/>
    <w:rsid w:val="251D242F"/>
    <w:rsid w:val="257B5FDE"/>
    <w:rsid w:val="25C44658"/>
    <w:rsid w:val="29D46E34"/>
    <w:rsid w:val="2B2160A9"/>
    <w:rsid w:val="2B724B56"/>
    <w:rsid w:val="2C5509C3"/>
    <w:rsid w:val="2E6863BB"/>
    <w:rsid w:val="2E7F7CB6"/>
    <w:rsid w:val="30C84A8F"/>
    <w:rsid w:val="31580B79"/>
    <w:rsid w:val="3522139B"/>
    <w:rsid w:val="35BA60CE"/>
    <w:rsid w:val="39C33C94"/>
    <w:rsid w:val="3A095276"/>
    <w:rsid w:val="3D0535B4"/>
    <w:rsid w:val="3FAC5588"/>
    <w:rsid w:val="40C33A32"/>
    <w:rsid w:val="47947ED7"/>
    <w:rsid w:val="483E65AE"/>
    <w:rsid w:val="4BFE6267"/>
    <w:rsid w:val="4C2A6435"/>
    <w:rsid w:val="521628AD"/>
    <w:rsid w:val="536D782E"/>
    <w:rsid w:val="55591C47"/>
    <w:rsid w:val="564927D4"/>
    <w:rsid w:val="57D85FAF"/>
    <w:rsid w:val="5F131BD1"/>
    <w:rsid w:val="688207F4"/>
    <w:rsid w:val="709541F4"/>
    <w:rsid w:val="70FF1E55"/>
    <w:rsid w:val="74543DB5"/>
    <w:rsid w:val="760B5F6A"/>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5">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7">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8">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9">
    <w:name w:val="Header or footer|2"/>
    <w:basedOn w:val="1"/>
    <w:qFormat/>
    <w:uiPriority w:val="0"/>
    <w:rPr>
      <w:sz w:val="20"/>
      <w:szCs w:val="20"/>
      <w:lang w:val="zh-TW" w:eastAsia="zh-TW" w:bidi="zh-TW"/>
    </w:rPr>
  </w:style>
  <w:style w:type="paragraph" w:customStyle="1" w:styleId="10">
    <w:name w:val="Body text|2"/>
    <w:basedOn w:val="1"/>
    <w:qFormat/>
    <w:uiPriority w:val="0"/>
    <w:pPr>
      <w:spacing w:line="736" w:lineRule="exact"/>
      <w:ind w:left="340" w:hanging="34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639</Words>
  <Characters>3646</Characters>
  <Lines>30</Lines>
  <Paragraphs>8</Paragraphs>
  <TotalTime>9</TotalTime>
  <ScaleCrop>false</ScaleCrop>
  <LinksUpToDate>false</LinksUpToDate>
  <CharactersWithSpaces>4277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2021-12-06T07:35:09Z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F1B1C840D99C4D6AAD153D5971EA7C24</vt:lpwstr>
  </property>
</Properties>
</file>