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清源创新实验室尺寸排阻色谱仪需求调研情况</w:t>
      </w:r>
    </w:p>
    <w:p>
      <w:pPr>
        <w:snapToGrid w:val="0"/>
        <w:spacing w:line="540" w:lineRule="exact"/>
        <w:ind w:firstLine="640" w:firstLineChars="200"/>
        <w:jc w:val="left"/>
        <w:rPr>
          <w:rFonts w:hint="eastAsia" w:ascii="黑体" w:hAnsi="黑体" w:eastAsia="黑体" w:cs="黑体"/>
          <w:color w:val="000000"/>
          <w:sz w:val="32"/>
          <w:szCs w:val="32"/>
        </w:rPr>
      </w:pPr>
      <w:r>
        <w:rPr>
          <w:rFonts w:hint="eastAsia" w:ascii="黑体" w:hAnsi="黑体" w:eastAsia="黑体" w:cs="黑体"/>
          <w:color w:val="000000"/>
          <w:sz w:val="32"/>
          <w:szCs w:val="32"/>
        </w:rPr>
        <w:t>一、仪器设备使用的项目</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尺寸排阻色谱仪（简称SEC）是以聚合物为固定相，它类似于分子筛的作用，但聚合物的孔径比分</w:t>
      </w:r>
      <w:bookmarkStart w:id="0" w:name="_GoBack"/>
      <w:bookmarkEnd w:id="0"/>
      <w:r>
        <w:rPr>
          <w:rFonts w:hint="eastAsia" w:ascii="仿宋_GB2312" w:hAnsi="仿宋_GB2312" w:eastAsia="仿宋_GB2312" w:cs="仿宋_GB2312"/>
          <w:color w:val="000000"/>
          <w:sz w:val="32"/>
          <w:szCs w:val="32"/>
        </w:rPr>
        <w:t>子筛要大得多，一般为数纳米到数百纳米。溶质在两相之间不是靠其相互作用力的不同来进行分离，而是按分子大小进行分离。分离只与聚合物的孔径分布和溶质的流动力学体积或分子大小有关。样品进入色谱柱后，随流动相在聚合物外部间隙以及孔穴旁流过。尺寸排阻色谱仪能为本项目精细化工工艺多组分杂质中污染物的分析提供有效的定性、定量工具。</w:t>
      </w:r>
    </w:p>
    <w:p>
      <w:pPr>
        <w:snapToGrid w:val="0"/>
        <w:spacing w:line="540" w:lineRule="exact"/>
        <w:ind w:firstLine="640" w:firstLineChars="200"/>
        <w:jc w:val="left"/>
        <w:rPr>
          <w:rFonts w:hint="eastAsia" w:ascii="黑体" w:hAnsi="黑体" w:eastAsia="黑体" w:cs="黑体"/>
          <w:color w:val="000000"/>
          <w:sz w:val="32"/>
          <w:szCs w:val="32"/>
        </w:rPr>
      </w:pPr>
      <w:r>
        <w:rPr>
          <w:rFonts w:hint="eastAsia" w:ascii="黑体" w:hAnsi="黑体" w:eastAsia="黑体" w:cs="黑体"/>
          <w:color w:val="000000"/>
          <w:sz w:val="32"/>
          <w:szCs w:val="32"/>
        </w:rPr>
        <w:t>二、在该项目中所承担的任务</w:t>
      </w:r>
    </w:p>
    <w:p>
      <w:pPr>
        <w:snapToGrid w:val="0"/>
        <w:spacing w:line="54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随着科学技术的发展和环境学科教学领域拓展的需要，我课题组精细化工工艺多组分杂质分析学科担负着大量科研分析工作和为企业担负技术顾问的需要以及本科生、研究生培养教育，学院平台目前配备的设备已经不能满足我课题组精细化工工艺多组分杂质分析学科现有开展科研和教学工作的需要，严重影响我课题组的人才培养（本科生与研究生课程教学）和科研工作，制约学科的建设与发展。鉴于上述情况，为了更好地保证教学、科研工作的顺利完成，经过学院相关教师的多轮认真讨论，一致认为，尺寸排阻色谱仪是我课题组目前需求迫切、发挥效益较大的分析检测仪器，所以我课题组申请尽快购置一台服务于综合实验平台分析测试为主、性能指标能够满足常规科研和教学需要、灵敏度高、性价比高、性能稳定可靠的进口品牌的尺寸排阻色谱仪。</w:t>
      </w:r>
    </w:p>
    <w:p>
      <w:pPr>
        <w:snapToGrid w:val="0"/>
        <w:spacing w:line="54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利用其有极强的分离能力分离化工品中各类高沸点、大分子化合物;</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尺寸排阻色谱仪具有高适用性高灵敏度特点，被广泛应用于复杂组分的分离与鉴定，能大大丰富本科教学内容和提高基础科研的质量。该设备主要用于本单位教授完成精细化工专业的定性、定量分析的科研项目需要，同时该仪器分析又具有多学科交叉性，发展性和前沿性特点，在实验教学中也起到了提高实验教学质量与培养研究生、本科生动手能力的重要作用，相比其他传统分析仪器，它具有高速准确，灵敏度高、分辨率高，可反复使用的优点，已经成为科学实验中不可缺少的重要仪器，能极大满足研究生教学与科研培养的要求，培养广大学生综合知识和创新能力。</w:t>
      </w:r>
    </w:p>
    <w:p>
      <w:pPr>
        <w:snapToGrid w:val="0"/>
        <w:spacing w:line="540" w:lineRule="exact"/>
        <w:ind w:firstLine="640" w:firstLineChars="200"/>
        <w:jc w:val="left"/>
        <w:rPr>
          <w:rFonts w:hint="eastAsia" w:ascii="黑体" w:hAnsi="黑体" w:eastAsia="黑体" w:cs="黑体"/>
          <w:color w:val="000000"/>
          <w:sz w:val="32"/>
          <w:szCs w:val="32"/>
        </w:rPr>
      </w:pPr>
      <w:r>
        <w:rPr>
          <w:rFonts w:hint="eastAsia" w:ascii="黑体" w:hAnsi="黑体" w:eastAsia="黑体" w:cs="黑体"/>
          <w:color w:val="000000"/>
          <w:sz w:val="32"/>
          <w:szCs w:val="32"/>
        </w:rPr>
        <w:t>三、国内外同类项目所用的仪器设备及优缺点对比</w:t>
      </w:r>
    </w:p>
    <w:p>
      <w:pPr>
        <w:snapToGrid w:val="0"/>
        <w:spacing w:line="54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进口产品</w:t>
      </w:r>
    </w:p>
    <w:tbl>
      <w:tblPr>
        <w:tblStyle w:val="5"/>
        <w:tblW w:w="9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1824"/>
        <w:gridCol w:w="2186"/>
        <w:gridCol w:w="2004"/>
        <w:gridCol w:w="2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152" w:type="dxa"/>
            <w:tcBorders>
              <w:bottom w:val="single" w:color="auto" w:sz="4" w:space="0"/>
            </w:tcBorders>
            <w:vAlign w:val="center"/>
          </w:tcPr>
          <w:p>
            <w:pPr>
              <w:jc w:val="center"/>
              <w:rPr>
                <w:rFonts w:hint="eastAsia" w:ascii="黑体" w:hAnsi="黑体" w:eastAsia="黑体" w:cs="黑体"/>
                <w:b/>
                <w:bCs/>
                <w:kern w:val="0"/>
                <w:szCs w:val="21"/>
              </w:rPr>
            </w:pPr>
            <w:r>
              <w:rPr>
                <w:rFonts w:hint="eastAsia" w:ascii="黑体" w:hAnsi="黑体" w:eastAsia="黑体" w:cs="黑体"/>
                <w:b/>
                <w:bCs/>
                <w:spacing w:val="160"/>
                <w:kern w:val="0"/>
                <w:szCs w:val="21"/>
              </w:rPr>
              <w:t>类</w:t>
            </w:r>
            <w:r>
              <w:rPr>
                <w:rFonts w:hint="eastAsia" w:ascii="黑体" w:hAnsi="黑体" w:eastAsia="黑体" w:cs="黑体"/>
                <w:b/>
                <w:bCs/>
                <w:kern w:val="0"/>
                <w:szCs w:val="21"/>
              </w:rPr>
              <w:t>别</w:t>
            </w:r>
          </w:p>
        </w:tc>
        <w:tc>
          <w:tcPr>
            <w:tcW w:w="1824" w:type="dxa"/>
            <w:tcBorders>
              <w:bottom w:val="single" w:color="auto" w:sz="4" w:space="0"/>
            </w:tcBorders>
            <w:vAlign w:val="center"/>
          </w:tcPr>
          <w:p>
            <w:pPr>
              <w:jc w:val="center"/>
              <w:rPr>
                <w:rFonts w:hint="eastAsia" w:ascii="黑体" w:hAnsi="黑体" w:eastAsia="黑体" w:cs="黑体"/>
                <w:b/>
                <w:bCs/>
                <w:kern w:val="0"/>
                <w:szCs w:val="21"/>
              </w:rPr>
            </w:pPr>
            <w:r>
              <w:rPr>
                <w:rFonts w:hint="eastAsia" w:ascii="黑体" w:hAnsi="黑体" w:eastAsia="黑体" w:cs="黑体"/>
                <w:b/>
                <w:bCs/>
                <w:spacing w:val="160"/>
                <w:kern w:val="0"/>
                <w:szCs w:val="21"/>
              </w:rPr>
              <w:t>项</w:t>
            </w:r>
            <w:r>
              <w:rPr>
                <w:rFonts w:hint="eastAsia" w:ascii="黑体" w:hAnsi="黑体" w:eastAsia="黑体" w:cs="黑体"/>
                <w:b/>
                <w:bCs/>
                <w:kern w:val="0"/>
                <w:szCs w:val="21"/>
              </w:rPr>
              <w:t>目</w:t>
            </w:r>
          </w:p>
        </w:tc>
        <w:tc>
          <w:tcPr>
            <w:tcW w:w="2186" w:type="dxa"/>
            <w:tcBorders>
              <w:bottom w:val="single" w:color="auto" w:sz="4" w:space="0"/>
            </w:tcBorders>
            <w:vAlign w:val="center"/>
          </w:tcPr>
          <w:p>
            <w:pPr>
              <w:jc w:val="center"/>
              <w:rPr>
                <w:b/>
                <w:bCs/>
                <w:kern w:val="0"/>
                <w:szCs w:val="21"/>
              </w:rPr>
            </w:pPr>
            <w:r>
              <w:rPr>
                <w:rFonts w:hint="eastAsia" w:ascii="黑体" w:hAnsi="宋体" w:eastAsia="黑体"/>
                <w:b/>
                <w:bCs/>
                <w:kern w:val="0"/>
                <w:szCs w:val="21"/>
              </w:rPr>
              <w:t>日本岛津</w:t>
            </w:r>
          </w:p>
        </w:tc>
        <w:tc>
          <w:tcPr>
            <w:tcW w:w="2004" w:type="dxa"/>
            <w:tcBorders>
              <w:bottom w:val="single" w:color="auto" w:sz="4" w:space="0"/>
            </w:tcBorders>
            <w:vAlign w:val="center"/>
          </w:tcPr>
          <w:p>
            <w:pPr>
              <w:jc w:val="center"/>
              <w:rPr>
                <w:b/>
                <w:bCs/>
                <w:kern w:val="0"/>
                <w:szCs w:val="21"/>
              </w:rPr>
            </w:pPr>
            <w:r>
              <w:rPr>
                <w:rFonts w:hint="eastAsia" w:ascii="黑体" w:hAnsi="宋体" w:eastAsia="黑体"/>
                <w:b/>
                <w:bCs/>
                <w:kern w:val="0"/>
                <w:szCs w:val="21"/>
              </w:rPr>
              <w:t>美国安捷伦</w:t>
            </w:r>
          </w:p>
        </w:tc>
        <w:tc>
          <w:tcPr>
            <w:tcW w:w="2424" w:type="dxa"/>
            <w:tcBorders>
              <w:bottom w:val="single" w:color="auto" w:sz="4" w:space="0"/>
            </w:tcBorders>
            <w:vAlign w:val="center"/>
          </w:tcPr>
          <w:p>
            <w:pPr>
              <w:jc w:val="center"/>
              <w:rPr>
                <w:b/>
                <w:bCs/>
                <w:kern w:val="0"/>
                <w:szCs w:val="21"/>
              </w:rPr>
            </w:pPr>
            <w:r>
              <w:rPr>
                <w:rFonts w:hint="eastAsia" w:ascii="黑体" w:hAnsi="宋体" w:eastAsia="黑体"/>
                <w:b/>
                <w:bCs/>
                <w:kern w:val="0"/>
                <w:szCs w:val="21"/>
              </w:rPr>
              <w:t>美国W</w:t>
            </w:r>
            <w:r>
              <w:rPr>
                <w:rFonts w:ascii="黑体" w:hAnsi="宋体" w:eastAsia="黑体"/>
                <w:b/>
                <w:bCs/>
                <w:kern w:val="0"/>
                <w:szCs w:val="21"/>
              </w:rPr>
              <w:t>aters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52" w:type="dxa"/>
            <w:vMerge w:val="restart"/>
            <w:vAlign w:val="center"/>
          </w:tcPr>
          <w:p>
            <w:pPr>
              <w:jc w:val="center"/>
              <w:rPr>
                <w:rFonts w:hint="eastAsia" w:ascii="黑体" w:hAnsi="黑体" w:eastAsia="黑体" w:cs="黑体"/>
                <w:b/>
                <w:bCs/>
                <w:kern w:val="0"/>
                <w:sz w:val="28"/>
                <w:szCs w:val="28"/>
              </w:rPr>
            </w:pPr>
            <w:r>
              <w:rPr>
                <w:rFonts w:hint="eastAsia" w:ascii="黑体" w:hAnsi="黑体" w:eastAsia="黑体" w:cs="黑体"/>
                <w:b/>
                <w:bCs/>
                <w:kern w:val="0"/>
                <w:szCs w:val="21"/>
              </w:rPr>
              <w:t>主要性能指标</w:t>
            </w:r>
          </w:p>
        </w:tc>
        <w:tc>
          <w:tcPr>
            <w:tcW w:w="1824" w:type="dxa"/>
            <w:tcBorders>
              <w:bottom w:val="single" w:color="auto" w:sz="4" w:space="0"/>
            </w:tcBorders>
            <w:vAlign w:val="center"/>
          </w:tcPr>
          <w:p>
            <w:pPr>
              <w:jc w:val="center"/>
              <w:rPr>
                <w:rFonts w:hint="eastAsia" w:ascii="黑体" w:hAnsi="黑体" w:eastAsia="黑体" w:cs="黑体"/>
                <w:b w:val="0"/>
                <w:bCs w:val="0"/>
                <w:kern w:val="0"/>
                <w:szCs w:val="21"/>
              </w:rPr>
            </w:pPr>
            <w:r>
              <w:rPr>
                <w:rFonts w:hint="eastAsia" w:ascii="黑体" w:hAnsi="黑体" w:eastAsia="黑体" w:cs="黑体"/>
                <w:b w:val="0"/>
                <w:bCs w:val="0"/>
                <w:szCs w:val="21"/>
              </w:rPr>
              <w:t>产品品名</w:t>
            </w:r>
          </w:p>
        </w:tc>
        <w:tc>
          <w:tcPr>
            <w:tcW w:w="2186" w:type="dxa"/>
            <w:tcBorders>
              <w:bottom w:val="single" w:color="auto" w:sz="4" w:space="0"/>
            </w:tcBorders>
            <w:vAlign w:val="center"/>
          </w:tcPr>
          <w:p>
            <w:pPr>
              <w:jc w:val="center"/>
              <w:rPr>
                <w:rFonts w:ascii="宋体" w:hAnsi="宋体"/>
                <w:kern w:val="0"/>
                <w:szCs w:val="21"/>
              </w:rPr>
            </w:pPr>
            <w:r>
              <w:rPr>
                <w:rFonts w:hint="eastAsia" w:ascii="仿宋_GB2312" w:hAnsi="仿宋_GB2312" w:eastAsia="仿宋_GB2312" w:cs="仿宋_GB2312"/>
                <w:color w:val="000000"/>
                <w:kern w:val="0"/>
                <w:sz w:val="24"/>
              </w:rPr>
              <w:t>尺寸排阻色谱仪</w:t>
            </w:r>
            <w:r>
              <w:rPr>
                <w:rFonts w:ascii="宋体" w:hAnsi="宋体"/>
                <w:color w:val="000000"/>
                <w:szCs w:val="21"/>
              </w:rPr>
              <w:t>LC-20A</w:t>
            </w:r>
          </w:p>
        </w:tc>
        <w:tc>
          <w:tcPr>
            <w:tcW w:w="2004" w:type="dxa"/>
            <w:tcBorders>
              <w:bottom w:val="single" w:color="auto" w:sz="4" w:space="0"/>
            </w:tcBorders>
            <w:vAlign w:val="center"/>
          </w:tcPr>
          <w:p>
            <w:pPr>
              <w:jc w:val="center"/>
              <w:rPr>
                <w:rFonts w:ascii="宋体" w:hAnsi="宋体"/>
                <w:kern w:val="0"/>
                <w:szCs w:val="21"/>
              </w:rPr>
            </w:pPr>
            <w:r>
              <w:rPr>
                <w:rFonts w:hint="eastAsia" w:ascii="仿宋_GB2312" w:hAnsi="仿宋_GB2312" w:eastAsia="仿宋_GB2312" w:cs="仿宋_GB2312"/>
                <w:color w:val="000000"/>
                <w:kern w:val="0"/>
                <w:sz w:val="24"/>
              </w:rPr>
              <w:t>尺寸排阻色谱仪</w:t>
            </w:r>
            <w:r>
              <w:rPr>
                <w:rFonts w:hint="eastAsia" w:ascii="宋体" w:hAnsi="宋体"/>
                <w:szCs w:val="21"/>
              </w:rPr>
              <w:t>1</w:t>
            </w:r>
            <w:r>
              <w:rPr>
                <w:rFonts w:ascii="宋体" w:hAnsi="宋体"/>
                <w:szCs w:val="21"/>
              </w:rPr>
              <w:t>260</w:t>
            </w:r>
          </w:p>
        </w:tc>
        <w:tc>
          <w:tcPr>
            <w:tcW w:w="2424" w:type="dxa"/>
            <w:tcBorders>
              <w:bottom w:val="single" w:color="auto" w:sz="4" w:space="0"/>
            </w:tcBorders>
            <w:vAlign w:val="center"/>
          </w:tcPr>
          <w:p>
            <w:pPr>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尺寸排阻色谱仪2695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52" w:type="dxa"/>
            <w:vMerge w:val="continue"/>
            <w:vAlign w:val="center"/>
          </w:tcPr>
          <w:p>
            <w:pPr>
              <w:jc w:val="center"/>
              <w:rPr>
                <w:rFonts w:hint="eastAsia" w:ascii="黑体" w:hAnsi="黑体" w:eastAsia="黑体" w:cs="黑体"/>
                <w:b/>
                <w:bCs/>
                <w:kern w:val="0"/>
                <w:sz w:val="28"/>
                <w:szCs w:val="28"/>
              </w:rPr>
            </w:pPr>
          </w:p>
        </w:tc>
        <w:tc>
          <w:tcPr>
            <w:tcW w:w="1824" w:type="dxa"/>
            <w:tcBorders>
              <w:bottom w:val="single" w:color="auto" w:sz="4" w:space="0"/>
            </w:tcBorders>
            <w:vAlign w:val="center"/>
          </w:tcPr>
          <w:p>
            <w:pPr>
              <w:jc w:val="center"/>
              <w:rPr>
                <w:rFonts w:hint="eastAsia" w:ascii="黑体" w:hAnsi="黑体" w:eastAsia="黑体" w:cs="黑体"/>
                <w:b w:val="0"/>
                <w:bCs w:val="0"/>
                <w:kern w:val="0"/>
                <w:szCs w:val="21"/>
              </w:rPr>
            </w:pPr>
            <w:r>
              <w:rPr>
                <w:rFonts w:hint="eastAsia" w:ascii="黑体" w:hAnsi="黑体" w:eastAsia="黑体" w:cs="黑体"/>
                <w:b w:val="0"/>
                <w:bCs w:val="0"/>
                <w:color w:val="000000"/>
                <w:szCs w:val="21"/>
              </w:rPr>
              <w:t>类型</w:t>
            </w:r>
          </w:p>
        </w:tc>
        <w:tc>
          <w:tcPr>
            <w:tcW w:w="2186" w:type="dxa"/>
            <w:tcBorders>
              <w:bottom w:val="single" w:color="auto" w:sz="4" w:space="0"/>
            </w:tcBorders>
            <w:vAlign w:val="center"/>
          </w:tcPr>
          <w:p>
            <w:pPr>
              <w:jc w:val="center"/>
              <w:rPr>
                <w:rFonts w:ascii="宋体" w:hAnsi="宋体"/>
                <w:kern w:val="0"/>
                <w:szCs w:val="21"/>
              </w:rPr>
            </w:pPr>
            <w:r>
              <w:rPr>
                <w:rFonts w:hint="eastAsia" w:ascii="宋体" w:hAnsi="宋体" w:cs="Calibri"/>
                <w:color w:val="000000"/>
                <w:szCs w:val="21"/>
              </w:rPr>
              <w:t>并联双柱塞</w:t>
            </w:r>
          </w:p>
        </w:tc>
        <w:tc>
          <w:tcPr>
            <w:tcW w:w="2004" w:type="dxa"/>
            <w:tcBorders>
              <w:bottom w:val="single" w:color="auto" w:sz="4" w:space="0"/>
            </w:tcBorders>
            <w:vAlign w:val="center"/>
          </w:tcPr>
          <w:p>
            <w:pPr>
              <w:jc w:val="center"/>
              <w:rPr>
                <w:rFonts w:ascii="宋体" w:hAnsi="宋体"/>
                <w:kern w:val="0"/>
                <w:szCs w:val="21"/>
              </w:rPr>
            </w:pPr>
            <w:r>
              <w:rPr>
                <w:rFonts w:hint="eastAsia" w:ascii="宋体" w:hAnsi="宋体" w:cs="Calibri"/>
                <w:color w:val="000000"/>
                <w:szCs w:val="21"/>
              </w:rPr>
              <w:t>串联双柱塞</w:t>
            </w:r>
          </w:p>
        </w:tc>
        <w:tc>
          <w:tcPr>
            <w:tcW w:w="2424" w:type="dxa"/>
            <w:tcBorders>
              <w:bottom w:val="single" w:color="auto" w:sz="4" w:space="0"/>
            </w:tcBorders>
            <w:vAlign w:val="center"/>
          </w:tcPr>
          <w:p>
            <w:pPr>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并联双柱塞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52" w:type="dxa"/>
            <w:vMerge w:val="continue"/>
            <w:vAlign w:val="center"/>
          </w:tcPr>
          <w:p>
            <w:pPr>
              <w:jc w:val="center"/>
              <w:rPr>
                <w:rFonts w:hint="eastAsia" w:ascii="黑体" w:hAnsi="黑体" w:eastAsia="黑体" w:cs="黑体"/>
                <w:b/>
                <w:bCs/>
                <w:kern w:val="0"/>
                <w:sz w:val="28"/>
                <w:szCs w:val="28"/>
              </w:rPr>
            </w:pPr>
          </w:p>
        </w:tc>
        <w:tc>
          <w:tcPr>
            <w:tcW w:w="1824" w:type="dxa"/>
            <w:tcBorders>
              <w:bottom w:val="single" w:color="auto" w:sz="4" w:space="0"/>
            </w:tcBorders>
            <w:vAlign w:val="center"/>
          </w:tcPr>
          <w:p>
            <w:pPr>
              <w:jc w:val="center"/>
              <w:rPr>
                <w:rFonts w:hint="eastAsia" w:ascii="黑体" w:hAnsi="黑体" w:eastAsia="黑体" w:cs="黑体"/>
                <w:b w:val="0"/>
                <w:bCs w:val="0"/>
                <w:kern w:val="0"/>
                <w:szCs w:val="21"/>
              </w:rPr>
            </w:pPr>
            <w:r>
              <w:rPr>
                <w:rFonts w:hint="eastAsia" w:ascii="黑体" w:hAnsi="黑体" w:eastAsia="黑体" w:cs="黑体"/>
                <w:b w:val="0"/>
                <w:bCs w:val="0"/>
                <w:color w:val="000000"/>
                <w:szCs w:val="21"/>
              </w:rPr>
              <w:t>最大压力</w:t>
            </w:r>
          </w:p>
        </w:tc>
        <w:tc>
          <w:tcPr>
            <w:tcW w:w="2186" w:type="dxa"/>
            <w:tcBorders>
              <w:bottom w:val="single" w:color="auto" w:sz="4" w:space="0"/>
            </w:tcBorders>
            <w:vAlign w:val="center"/>
          </w:tcPr>
          <w:p>
            <w:pPr>
              <w:jc w:val="center"/>
              <w:rPr>
                <w:rFonts w:ascii="宋体" w:hAnsi="宋体"/>
                <w:kern w:val="0"/>
                <w:szCs w:val="21"/>
              </w:rPr>
            </w:pPr>
            <w:r>
              <w:rPr>
                <w:rFonts w:ascii="宋体" w:hAnsi="宋体" w:cs="Calibri"/>
                <w:color w:val="000000"/>
                <w:szCs w:val="21"/>
              </w:rPr>
              <w:t>60</w:t>
            </w:r>
            <w:r>
              <w:rPr>
                <w:rFonts w:hint="eastAsia" w:ascii="宋体" w:hAnsi="宋体" w:cs="Calibri"/>
                <w:color w:val="000000"/>
                <w:szCs w:val="21"/>
              </w:rPr>
              <w:t>MPa</w:t>
            </w:r>
          </w:p>
        </w:tc>
        <w:tc>
          <w:tcPr>
            <w:tcW w:w="2004" w:type="dxa"/>
            <w:tcBorders>
              <w:bottom w:val="single" w:color="auto" w:sz="4" w:space="0"/>
            </w:tcBorders>
            <w:vAlign w:val="center"/>
          </w:tcPr>
          <w:p>
            <w:pPr>
              <w:jc w:val="center"/>
              <w:rPr>
                <w:rFonts w:ascii="宋体" w:hAnsi="宋体"/>
                <w:kern w:val="0"/>
                <w:szCs w:val="21"/>
              </w:rPr>
            </w:pPr>
            <w:r>
              <w:rPr>
                <w:rFonts w:ascii="宋体" w:hAnsi="宋体" w:cs="Calibri"/>
                <w:color w:val="000000"/>
                <w:szCs w:val="21"/>
              </w:rPr>
              <w:t>42</w:t>
            </w:r>
            <w:r>
              <w:rPr>
                <w:rFonts w:hint="eastAsia" w:ascii="宋体" w:hAnsi="宋体" w:cs="Calibri"/>
                <w:color w:val="000000"/>
                <w:szCs w:val="21"/>
              </w:rPr>
              <w:t>MPa</w:t>
            </w:r>
          </w:p>
        </w:tc>
        <w:tc>
          <w:tcPr>
            <w:tcW w:w="2424" w:type="dxa"/>
            <w:tcBorders>
              <w:bottom w:val="single" w:color="auto" w:sz="4" w:space="0"/>
            </w:tcBorders>
            <w:vAlign w:val="center"/>
          </w:tcPr>
          <w:p>
            <w:pPr>
              <w:jc w:val="center"/>
              <w:rPr>
                <w:rFonts w:ascii="宋体" w:hAnsi="宋体"/>
                <w:kern w:val="0"/>
                <w:szCs w:val="21"/>
              </w:rPr>
            </w:pPr>
            <w:r>
              <w:rPr>
                <w:rFonts w:hint="eastAsia" w:ascii="宋体" w:hAnsi="宋体" w:cs="Calibri"/>
                <w:color w:val="000000"/>
                <w:szCs w:val="21"/>
              </w:rPr>
              <w:t>40MPa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52" w:type="dxa"/>
            <w:vMerge w:val="continue"/>
            <w:vAlign w:val="center"/>
          </w:tcPr>
          <w:p>
            <w:pPr>
              <w:jc w:val="center"/>
              <w:rPr>
                <w:rFonts w:hint="eastAsia" w:ascii="黑体" w:hAnsi="黑体" w:eastAsia="黑体" w:cs="黑体"/>
                <w:b/>
                <w:bCs/>
                <w:kern w:val="0"/>
                <w:sz w:val="28"/>
                <w:szCs w:val="28"/>
              </w:rPr>
            </w:pPr>
          </w:p>
        </w:tc>
        <w:tc>
          <w:tcPr>
            <w:tcW w:w="1824" w:type="dxa"/>
            <w:tcBorders>
              <w:bottom w:val="single" w:color="auto" w:sz="4" w:space="0"/>
            </w:tcBorders>
            <w:vAlign w:val="center"/>
          </w:tcPr>
          <w:p>
            <w:pPr>
              <w:jc w:val="center"/>
              <w:rPr>
                <w:rFonts w:hint="eastAsia" w:ascii="黑体" w:hAnsi="黑体" w:eastAsia="黑体" w:cs="黑体"/>
                <w:b w:val="0"/>
                <w:bCs w:val="0"/>
                <w:kern w:val="0"/>
                <w:szCs w:val="21"/>
              </w:rPr>
            </w:pPr>
            <w:r>
              <w:rPr>
                <w:rFonts w:hint="eastAsia" w:ascii="黑体" w:hAnsi="黑体" w:eastAsia="黑体" w:cs="黑体"/>
                <w:b w:val="0"/>
                <w:bCs w:val="0"/>
                <w:color w:val="000000"/>
                <w:szCs w:val="21"/>
              </w:rPr>
              <w:t>流速范围</w:t>
            </w:r>
          </w:p>
        </w:tc>
        <w:tc>
          <w:tcPr>
            <w:tcW w:w="2186" w:type="dxa"/>
            <w:tcBorders>
              <w:bottom w:val="single" w:color="auto" w:sz="4" w:space="0"/>
            </w:tcBorders>
            <w:vAlign w:val="center"/>
          </w:tcPr>
          <w:p>
            <w:pPr>
              <w:jc w:val="center"/>
              <w:rPr>
                <w:rFonts w:ascii="宋体" w:hAnsi="宋体"/>
                <w:kern w:val="0"/>
                <w:szCs w:val="21"/>
              </w:rPr>
            </w:pPr>
            <w:r>
              <w:rPr>
                <w:rFonts w:hint="eastAsia" w:ascii="宋体" w:hAnsi="宋体" w:cs="Calibri"/>
                <w:color w:val="000000"/>
                <w:szCs w:val="21"/>
              </w:rPr>
              <w:t>0.001～</w:t>
            </w:r>
            <w:r>
              <w:rPr>
                <w:rFonts w:ascii="宋体" w:hAnsi="宋体" w:cs="Calibri"/>
                <w:color w:val="000000"/>
                <w:szCs w:val="21"/>
              </w:rPr>
              <w:t>1</w:t>
            </w:r>
            <w:r>
              <w:rPr>
                <w:rFonts w:hint="eastAsia" w:ascii="宋体" w:hAnsi="宋体" w:cs="Calibri"/>
                <w:color w:val="000000"/>
                <w:szCs w:val="21"/>
              </w:rPr>
              <w:t>0.000mL/min</w:t>
            </w:r>
          </w:p>
        </w:tc>
        <w:tc>
          <w:tcPr>
            <w:tcW w:w="2004" w:type="dxa"/>
            <w:tcBorders>
              <w:bottom w:val="single" w:color="auto" w:sz="4" w:space="0"/>
            </w:tcBorders>
            <w:vAlign w:val="center"/>
          </w:tcPr>
          <w:p>
            <w:pPr>
              <w:jc w:val="center"/>
              <w:rPr>
                <w:rFonts w:ascii="宋体" w:hAnsi="宋体"/>
                <w:kern w:val="0"/>
                <w:szCs w:val="21"/>
              </w:rPr>
            </w:pPr>
            <w:r>
              <w:rPr>
                <w:rFonts w:hint="eastAsia" w:ascii="宋体" w:hAnsi="宋体" w:cs="Calibri"/>
                <w:color w:val="000000"/>
                <w:szCs w:val="21"/>
              </w:rPr>
              <w:t>0.001-100mL/min</w:t>
            </w:r>
          </w:p>
        </w:tc>
        <w:tc>
          <w:tcPr>
            <w:tcW w:w="2424" w:type="dxa"/>
            <w:tcBorders>
              <w:bottom w:val="single" w:color="auto" w:sz="4" w:space="0"/>
            </w:tcBorders>
            <w:vAlign w:val="center"/>
          </w:tcPr>
          <w:p>
            <w:pPr>
              <w:jc w:val="center"/>
              <w:rPr>
                <w:rFonts w:ascii="宋体" w:hAnsi="宋体"/>
                <w:kern w:val="0"/>
                <w:szCs w:val="21"/>
              </w:rPr>
            </w:pPr>
            <w:r>
              <w:rPr>
                <w:rFonts w:hint="eastAsia" w:ascii="宋体" w:hAnsi="宋体" w:cs="Calibri"/>
                <w:color w:val="000000"/>
                <w:szCs w:val="21"/>
              </w:rPr>
              <w:t>0.</w:t>
            </w:r>
            <w:r>
              <w:rPr>
                <w:rFonts w:ascii="宋体" w:hAnsi="宋体" w:cs="Calibri"/>
                <w:color w:val="000000"/>
                <w:szCs w:val="21"/>
              </w:rPr>
              <w:t>001</w:t>
            </w:r>
            <w:r>
              <w:rPr>
                <w:rFonts w:hint="eastAsia" w:ascii="宋体" w:hAnsi="宋体" w:cs="Calibri"/>
                <w:color w:val="000000"/>
                <w:szCs w:val="21"/>
              </w:rPr>
              <w:t xml:space="preserve"> -5mL/min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152" w:type="dxa"/>
            <w:vMerge w:val="continue"/>
            <w:vAlign w:val="center"/>
          </w:tcPr>
          <w:p>
            <w:pPr>
              <w:jc w:val="center"/>
              <w:rPr>
                <w:rFonts w:hint="eastAsia" w:ascii="黑体" w:hAnsi="黑体" w:eastAsia="黑体" w:cs="黑体"/>
                <w:b/>
                <w:bCs/>
                <w:kern w:val="0"/>
                <w:sz w:val="28"/>
                <w:szCs w:val="28"/>
              </w:rPr>
            </w:pPr>
          </w:p>
        </w:tc>
        <w:tc>
          <w:tcPr>
            <w:tcW w:w="1824" w:type="dxa"/>
            <w:tcBorders>
              <w:bottom w:val="single" w:color="auto" w:sz="4" w:space="0"/>
            </w:tcBorders>
            <w:vAlign w:val="center"/>
          </w:tcPr>
          <w:p>
            <w:pPr>
              <w:jc w:val="center"/>
              <w:rPr>
                <w:rFonts w:hint="eastAsia" w:ascii="黑体" w:hAnsi="黑体" w:eastAsia="黑体" w:cs="黑体"/>
                <w:b w:val="0"/>
                <w:bCs w:val="0"/>
                <w:kern w:val="0"/>
                <w:szCs w:val="21"/>
              </w:rPr>
            </w:pPr>
            <w:r>
              <w:rPr>
                <w:rFonts w:hint="eastAsia" w:ascii="黑体" w:hAnsi="黑体" w:eastAsia="黑体" w:cs="黑体"/>
                <w:b w:val="0"/>
                <w:bCs w:val="0"/>
                <w:szCs w:val="21"/>
              </w:rPr>
              <w:t>自动进样器交叉污染</w:t>
            </w:r>
          </w:p>
        </w:tc>
        <w:tc>
          <w:tcPr>
            <w:tcW w:w="2186" w:type="dxa"/>
            <w:tcBorders>
              <w:bottom w:val="single" w:color="auto" w:sz="4" w:space="0"/>
            </w:tcBorders>
            <w:vAlign w:val="center"/>
          </w:tcPr>
          <w:p>
            <w:pPr>
              <w:jc w:val="center"/>
              <w:rPr>
                <w:rFonts w:ascii="宋体" w:hAnsi="宋体"/>
                <w:kern w:val="0"/>
                <w:szCs w:val="21"/>
              </w:rPr>
            </w:pPr>
            <w:r>
              <w:rPr>
                <w:rFonts w:hint="eastAsia" w:ascii="宋体" w:hAnsi="宋体"/>
                <w:szCs w:val="21"/>
              </w:rPr>
              <w:t>交叉污染：0.0025%</w:t>
            </w:r>
          </w:p>
        </w:tc>
        <w:tc>
          <w:tcPr>
            <w:tcW w:w="2004" w:type="dxa"/>
            <w:tcBorders>
              <w:bottom w:val="single" w:color="auto" w:sz="4" w:space="0"/>
            </w:tcBorders>
            <w:vAlign w:val="center"/>
          </w:tcPr>
          <w:p>
            <w:pPr>
              <w:jc w:val="center"/>
              <w:rPr>
                <w:rFonts w:ascii="宋体" w:hAnsi="宋体"/>
                <w:kern w:val="0"/>
                <w:szCs w:val="21"/>
              </w:rPr>
            </w:pPr>
            <w:r>
              <w:rPr>
                <w:rFonts w:hint="eastAsia" w:ascii="仿宋_GB2312" w:hAnsi="仿宋_GB2312" w:eastAsia="仿宋_GB2312" w:cs="仿宋_GB2312"/>
                <w:color w:val="000000"/>
                <w:kern w:val="0"/>
                <w:sz w:val="24"/>
                <w:lang w:val="zh-CN"/>
              </w:rPr>
              <w:t>交叉污染</w:t>
            </w:r>
            <w:r>
              <w:rPr>
                <w:rFonts w:hint="eastAsia" w:ascii="宋体" w:hAnsi="宋体"/>
                <w:szCs w:val="21"/>
              </w:rPr>
              <w:t>：0.05%</w:t>
            </w:r>
          </w:p>
        </w:tc>
        <w:tc>
          <w:tcPr>
            <w:tcW w:w="2424" w:type="dxa"/>
            <w:tcBorders>
              <w:bottom w:val="single" w:color="auto" w:sz="4" w:space="0"/>
            </w:tcBorders>
            <w:vAlign w:val="center"/>
          </w:tcPr>
          <w:p>
            <w:pPr>
              <w:jc w:val="center"/>
              <w:rPr>
                <w:rFonts w:ascii="宋体" w:hAnsi="宋体"/>
                <w:kern w:val="0"/>
                <w:szCs w:val="21"/>
              </w:rPr>
            </w:pPr>
            <w:r>
              <w:rPr>
                <w:rFonts w:hint="eastAsia" w:ascii="仿宋_GB2312" w:hAnsi="仿宋_GB2312" w:eastAsia="仿宋_GB2312" w:cs="仿宋_GB2312"/>
                <w:color w:val="000000"/>
                <w:kern w:val="0"/>
                <w:sz w:val="24"/>
                <w:lang w:val="zh-CN"/>
              </w:rPr>
              <w:t>交叉污染</w:t>
            </w:r>
            <w:r>
              <w:rPr>
                <w:rFonts w:hint="eastAsia" w:ascii="宋体" w:hAnsi="宋体"/>
                <w:color w:val="000000"/>
                <w:szCs w:val="21"/>
              </w:rPr>
              <w:t xml:space="preserve">&lt; </w:t>
            </w:r>
            <w:r>
              <w:rPr>
                <w:rFonts w:ascii="宋体" w:hAnsi="宋体"/>
                <w:color w:val="000000"/>
                <w:szCs w:val="21"/>
              </w:rPr>
              <w:t>0.</w:t>
            </w:r>
            <w:r>
              <w:rPr>
                <w:rFonts w:hint="eastAsia" w:ascii="宋体" w:hAnsi="宋体"/>
                <w:color w:val="000000"/>
                <w:szCs w:val="21"/>
              </w:rPr>
              <w:t>1</w:t>
            </w:r>
            <w:r>
              <w:rPr>
                <w:rFonts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52" w:type="dxa"/>
            <w:vMerge w:val="continue"/>
            <w:vAlign w:val="center"/>
          </w:tcPr>
          <w:p>
            <w:pPr>
              <w:jc w:val="center"/>
              <w:rPr>
                <w:rFonts w:hint="eastAsia" w:ascii="黑体" w:hAnsi="黑体" w:eastAsia="黑体" w:cs="黑体"/>
                <w:b/>
                <w:bCs/>
                <w:kern w:val="0"/>
                <w:sz w:val="28"/>
                <w:szCs w:val="28"/>
              </w:rPr>
            </w:pPr>
          </w:p>
        </w:tc>
        <w:tc>
          <w:tcPr>
            <w:tcW w:w="1824" w:type="dxa"/>
            <w:tcBorders>
              <w:bottom w:val="single" w:color="auto" w:sz="4" w:space="0"/>
            </w:tcBorders>
            <w:vAlign w:val="center"/>
          </w:tcPr>
          <w:p>
            <w:pPr>
              <w:jc w:val="center"/>
              <w:rPr>
                <w:rFonts w:hint="eastAsia" w:ascii="黑体" w:hAnsi="黑体" w:eastAsia="黑体" w:cs="黑体"/>
                <w:b w:val="0"/>
                <w:bCs w:val="0"/>
                <w:kern w:val="0"/>
                <w:szCs w:val="21"/>
              </w:rPr>
            </w:pPr>
            <w:r>
              <w:rPr>
                <w:rFonts w:hint="eastAsia" w:ascii="黑体" w:hAnsi="黑体" w:eastAsia="黑体" w:cs="黑体"/>
                <w:b w:val="0"/>
                <w:bCs w:val="0"/>
                <w:szCs w:val="21"/>
              </w:rPr>
              <w:t>柱温箱控温方式：</w:t>
            </w:r>
          </w:p>
        </w:tc>
        <w:tc>
          <w:tcPr>
            <w:tcW w:w="2186" w:type="dxa"/>
            <w:tcBorders>
              <w:bottom w:val="single" w:color="auto" w:sz="4" w:space="0"/>
            </w:tcBorders>
            <w:vAlign w:val="center"/>
          </w:tcPr>
          <w:p>
            <w:pPr>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zh-CN"/>
              </w:rPr>
              <w:t>强制空气循环型</w:t>
            </w:r>
          </w:p>
        </w:tc>
        <w:tc>
          <w:tcPr>
            <w:tcW w:w="2004" w:type="dxa"/>
            <w:tcBorders>
              <w:bottom w:val="single" w:color="auto" w:sz="4" w:space="0"/>
            </w:tcBorders>
            <w:vAlign w:val="center"/>
          </w:tcPr>
          <w:p>
            <w:pPr>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zh-CN"/>
              </w:rPr>
              <w:t>模块加热型</w:t>
            </w:r>
          </w:p>
        </w:tc>
        <w:tc>
          <w:tcPr>
            <w:tcW w:w="2424" w:type="dxa"/>
            <w:tcBorders>
              <w:bottom w:val="single" w:color="auto" w:sz="4" w:space="0"/>
            </w:tcBorders>
            <w:vAlign w:val="center"/>
          </w:tcPr>
          <w:p>
            <w:pPr>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zh-CN"/>
              </w:rPr>
              <w:t>模块加热型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52" w:type="dxa"/>
            <w:vMerge w:val="continue"/>
            <w:vAlign w:val="center"/>
          </w:tcPr>
          <w:p>
            <w:pPr>
              <w:jc w:val="center"/>
              <w:rPr>
                <w:rFonts w:hint="eastAsia" w:ascii="黑体" w:hAnsi="黑体" w:eastAsia="黑体" w:cs="黑体"/>
                <w:b/>
                <w:bCs/>
                <w:kern w:val="0"/>
                <w:sz w:val="28"/>
                <w:szCs w:val="28"/>
              </w:rPr>
            </w:pPr>
          </w:p>
        </w:tc>
        <w:tc>
          <w:tcPr>
            <w:tcW w:w="1824" w:type="dxa"/>
            <w:tcBorders>
              <w:bottom w:val="single" w:color="auto" w:sz="4" w:space="0"/>
            </w:tcBorders>
          </w:tcPr>
          <w:p>
            <w:pPr>
              <w:jc w:val="center"/>
              <w:rPr>
                <w:rFonts w:hint="eastAsia" w:ascii="黑体" w:hAnsi="黑体" w:eastAsia="黑体" w:cs="黑体"/>
                <w:b w:val="0"/>
                <w:bCs w:val="0"/>
                <w:kern w:val="0"/>
                <w:szCs w:val="21"/>
              </w:rPr>
            </w:pPr>
            <w:r>
              <w:rPr>
                <w:rFonts w:hint="eastAsia" w:ascii="黑体" w:hAnsi="黑体" w:eastAsia="黑体" w:cs="黑体"/>
                <w:b w:val="0"/>
                <w:bCs w:val="0"/>
                <w:color w:val="000000"/>
                <w:szCs w:val="21"/>
                <w:lang w:val="zh-CN"/>
              </w:rPr>
              <w:t>泵的精度</w:t>
            </w:r>
          </w:p>
        </w:tc>
        <w:tc>
          <w:tcPr>
            <w:tcW w:w="2186" w:type="dxa"/>
            <w:tcBorders>
              <w:bottom w:val="single" w:color="auto" w:sz="4" w:space="0"/>
            </w:tcBorders>
            <w:vAlign w:val="center"/>
          </w:tcPr>
          <w:p>
            <w:pPr>
              <w:jc w:val="center"/>
              <w:rPr>
                <w:rFonts w:ascii="宋体" w:hAnsi="宋体"/>
                <w:kern w:val="0"/>
                <w:szCs w:val="21"/>
              </w:rPr>
            </w:pPr>
            <w:r>
              <w:rPr>
                <w:rFonts w:hint="eastAsia" w:ascii="宋体" w:hAnsi="宋体"/>
                <w:color w:val="000000"/>
                <w:szCs w:val="21"/>
                <w:lang w:val="zh-CN"/>
              </w:rPr>
              <w:t>0.06%RSD</w:t>
            </w:r>
          </w:p>
        </w:tc>
        <w:tc>
          <w:tcPr>
            <w:tcW w:w="2004" w:type="dxa"/>
            <w:tcBorders>
              <w:bottom w:val="single" w:color="auto" w:sz="4" w:space="0"/>
            </w:tcBorders>
            <w:vAlign w:val="center"/>
          </w:tcPr>
          <w:p>
            <w:pPr>
              <w:jc w:val="center"/>
              <w:rPr>
                <w:rFonts w:ascii="宋体" w:hAnsi="宋体"/>
                <w:kern w:val="0"/>
                <w:szCs w:val="21"/>
              </w:rPr>
            </w:pPr>
            <w:r>
              <w:rPr>
                <w:rFonts w:hint="eastAsia" w:ascii="仿宋_GB2312" w:hAnsi="仿宋_GB2312" w:eastAsia="仿宋_GB2312" w:cs="仿宋_GB2312"/>
                <w:color w:val="000000"/>
                <w:kern w:val="0"/>
                <w:sz w:val="24"/>
                <w:lang w:val="zh-CN"/>
              </w:rPr>
              <w:t>泵的精度：</w:t>
            </w:r>
            <w:r>
              <w:rPr>
                <w:rFonts w:hint="eastAsia" w:ascii="宋体" w:hAnsi="宋体"/>
                <w:color w:val="000000"/>
                <w:szCs w:val="21"/>
                <w:lang w:val="zh-CN"/>
              </w:rPr>
              <w:t>0.07%RSD</w:t>
            </w:r>
          </w:p>
        </w:tc>
        <w:tc>
          <w:tcPr>
            <w:tcW w:w="2424" w:type="dxa"/>
            <w:tcBorders>
              <w:bottom w:val="single" w:color="auto" w:sz="4" w:space="0"/>
            </w:tcBorders>
            <w:vAlign w:val="center"/>
          </w:tcPr>
          <w:p>
            <w:pPr>
              <w:jc w:val="center"/>
              <w:rPr>
                <w:rFonts w:ascii="宋体" w:hAnsi="宋体"/>
                <w:kern w:val="0"/>
                <w:szCs w:val="21"/>
              </w:rPr>
            </w:pPr>
            <w:r>
              <w:rPr>
                <w:rFonts w:hint="eastAsia" w:ascii="宋体" w:hAnsi="宋体"/>
                <w:color w:val="000000"/>
                <w:szCs w:val="21"/>
                <w:lang w:val="zh-CN"/>
              </w:rPr>
              <w:t>泵的精度</w:t>
            </w:r>
            <w:r>
              <w:rPr>
                <w:rFonts w:hint="eastAsia" w:ascii="宋体" w:hAnsi="宋体"/>
                <w:color w:val="000000"/>
                <w:szCs w:val="21"/>
              </w:rPr>
              <w:t>：</w:t>
            </w:r>
            <w:r>
              <w:rPr>
                <w:rFonts w:hint="eastAsia" w:ascii="宋体" w:hAnsi="宋体"/>
                <w:color w:val="000000"/>
                <w:szCs w:val="21"/>
                <w:lang w:val="zh-CN"/>
              </w:rPr>
              <w:t>0.07</w:t>
            </w:r>
            <w:r>
              <w:rPr>
                <w:rFonts w:ascii="宋体" w:hAnsi="宋体"/>
                <w:color w:val="000000"/>
                <w:szCs w:val="21"/>
                <w:lang w:val="zh-CN"/>
              </w:rPr>
              <w:t>5</w:t>
            </w:r>
            <w:r>
              <w:rPr>
                <w:rFonts w:hint="eastAsia" w:ascii="宋体" w:hAnsi="宋体"/>
                <w:color w:val="000000"/>
                <w:szCs w:val="21"/>
                <w:lang w:val="zh-CN"/>
              </w:rPr>
              <w:t>%RSD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152" w:type="dxa"/>
            <w:vAlign w:val="center"/>
          </w:tcPr>
          <w:p>
            <w:pPr>
              <w:jc w:val="center"/>
              <w:rPr>
                <w:rFonts w:hint="eastAsia" w:ascii="黑体" w:hAnsi="黑体" w:eastAsia="黑体" w:cs="黑体"/>
                <w:b/>
                <w:bCs/>
                <w:kern w:val="0"/>
                <w:szCs w:val="21"/>
              </w:rPr>
            </w:pPr>
            <w:r>
              <w:rPr>
                <w:rFonts w:hint="eastAsia" w:ascii="黑体" w:hAnsi="黑体" w:eastAsia="黑体" w:cs="黑体"/>
                <w:b/>
                <w:bCs/>
                <w:kern w:val="0"/>
                <w:szCs w:val="21"/>
              </w:rPr>
              <w:t>市场情况</w:t>
            </w:r>
          </w:p>
        </w:tc>
        <w:tc>
          <w:tcPr>
            <w:tcW w:w="1824" w:type="dxa"/>
            <w:tcBorders>
              <w:bottom w:val="single" w:color="auto" w:sz="4" w:space="0"/>
            </w:tcBorders>
            <w:vAlign w:val="center"/>
          </w:tcPr>
          <w:p>
            <w:pPr>
              <w:jc w:val="center"/>
              <w:rPr>
                <w:rFonts w:hint="eastAsia" w:ascii="黑体" w:hAnsi="黑体" w:eastAsia="黑体" w:cs="黑体"/>
                <w:b w:val="0"/>
                <w:bCs w:val="0"/>
                <w:kern w:val="0"/>
                <w:szCs w:val="21"/>
              </w:rPr>
            </w:pPr>
            <w:r>
              <w:rPr>
                <w:rFonts w:hint="eastAsia" w:ascii="黑体" w:hAnsi="黑体" w:eastAsia="黑体" w:cs="黑体"/>
                <w:b w:val="0"/>
                <w:bCs w:val="0"/>
                <w:color w:val="000000"/>
                <w:kern w:val="0"/>
                <w:szCs w:val="21"/>
              </w:rPr>
              <w:t>市场</w:t>
            </w:r>
          </w:p>
        </w:tc>
        <w:tc>
          <w:tcPr>
            <w:tcW w:w="2186" w:type="dxa"/>
            <w:tcBorders>
              <w:bottom w:val="single" w:color="auto" w:sz="4" w:space="0"/>
            </w:tcBorders>
            <w:vAlign w:val="center"/>
          </w:tcPr>
          <w:p>
            <w:pPr>
              <w:jc w:val="center"/>
              <w:rPr>
                <w:rFonts w:hint="eastAsia" w:ascii="仿宋_GB2312" w:hAnsi="仿宋_GB2312" w:eastAsia="仿宋_GB2312" w:cs="仿宋_GB2312"/>
                <w:color w:val="000000"/>
                <w:kern w:val="0"/>
                <w:sz w:val="24"/>
                <w:lang w:val="zh-CN"/>
              </w:rPr>
            </w:pPr>
            <w:r>
              <w:rPr>
                <w:rFonts w:hint="eastAsia" w:ascii="仿宋_GB2312" w:hAnsi="仿宋_GB2312" w:eastAsia="仿宋_GB2312" w:cs="仿宋_GB2312"/>
                <w:color w:val="000000"/>
                <w:kern w:val="0"/>
                <w:sz w:val="24"/>
                <w:lang w:val="zh-CN"/>
              </w:rPr>
              <w:t>占有率高</w:t>
            </w:r>
          </w:p>
        </w:tc>
        <w:tc>
          <w:tcPr>
            <w:tcW w:w="2004" w:type="dxa"/>
            <w:tcBorders>
              <w:bottom w:val="single" w:color="auto" w:sz="4" w:space="0"/>
            </w:tcBorders>
            <w:vAlign w:val="center"/>
          </w:tcPr>
          <w:p>
            <w:pPr>
              <w:jc w:val="center"/>
              <w:rPr>
                <w:rFonts w:hint="eastAsia" w:ascii="仿宋_GB2312" w:hAnsi="仿宋_GB2312" w:eastAsia="仿宋_GB2312" w:cs="仿宋_GB2312"/>
                <w:color w:val="000000"/>
                <w:kern w:val="0"/>
                <w:sz w:val="24"/>
                <w:lang w:val="zh-CN"/>
              </w:rPr>
            </w:pPr>
            <w:r>
              <w:rPr>
                <w:rFonts w:hint="eastAsia" w:ascii="仿宋_GB2312" w:hAnsi="仿宋_GB2312" w:eastAsia="仿宋_GB2312" w:cs="仿宋_GB2312"/>
                <w:color w:val="000000"/>
                <w:kern w:val="0"/>
                <w:sz w:val="24"/>
                <w:lang w:val="zh-CN"/>
              </w:rPr>
              <w:t>占有率高</w:t>
            </w:r>
          </w:p>
        </w:tc>
        <w:tc>
          <w:tcPr>
            <w:tcW w:w="2424" w:type="dxa"/>
            <w:tcBorders>
              <w:bottom w:val="single" w:color="auto" w:sz="4" w:space="0"/>
            </w:tcBorders>
            <w:vAlign w:val="center"/>
          </w:tcPr>
          <w:p>
            <w:pPr>
              <w:jc w:val="center"/>
              <w:rPr>
                <w:rFonts w:hint="eastAsia" w:ascii="仿宋_GB2312" w:hAnsi="仿宋_GB2312" w:eastAsia="仿宋_GB2312" w:cs="仿宋_GB2312"/>
                <w:color w:val="000000"/>
                <w:kern w:val="0"/>
                <w:sz w:val="24"/>
                <w:lang w:val="zh-CN"/>
              </w:rPr>
            </w:pPr>
            <w:r>
              <w:rPr>
                <w:rFonts w:hint="eastAsia" w:ascii="仿宋_GB2312" w:hAnsi="仿宋_GB2312" w:eastAsia="仿宋_GB2312" w:cs="仿宋_GB2312"/>
                <w:color w:val="000000"/>
                <w:kern w:val="0"/>
                <w:sz w:val="24"/>
                <w:lang w:val="zh-CN"/>
              </w:rPr>
              <w:t>占有率低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52" w:type="dxa"/>
            <w:vAlign w:val="center"/>
          </w:tcPr>
          <w:p>
            <w:pPr>
              <w:jc w:val="center"/>
              <w:rPr>
                <w:rFonts w:hint="eastAsia" w:ascii="黑体" w:hAnsi="黑体" w:eastAsia="黑体" w:cs="黑体"/>
                <w:b/>
                <w:bCs/>
                <w:kern w:val="0"/>
                <w:szCs w:val="21"/>
              </w:rPr>
            </w:pPr>
            <w:r>
              <w:rPr>
                <w:rFonts w:hint="eastAsia" w:ascii="黑体" w:hAnsi="黑体" w:eastAsia="黑体" w:cs="黑体"/>
                <w:b/>
                <w:bCs/>
                <w:kern w:val="0"/>
                <w:szCs w:val="21"/>
              </w:rPr>
              <w:t>价格比较</w:t>
            </w:r>
          </w:p>
        </w:tc>
        <w:tc>
          <w:tcPr>
            <w:tcW w:w="1824" w:type="dxa"/>
            <w:tcBorders>
              <w:bottom w:val="single" w:color="auto" w:sz="4" w:space="0"/>
            </w:tcBorders>
            <w:vAlign w:val="center"/>
          </w:tcPr>
          <w:p>
            <w:pPr>
              <w:jc w:val="center"/>
              <w:rPr>
                <w:rFonts w:hint="eastAsia" w:ascii="黑体" w:hAnsi="黑体" w:eastAsia="黑体" w:cs="黑体"/>
                <w:b w:val="0"/>
                <w:bCs w:val="0"/>
                <w:kern w:val="0"/>
                <w:szCs w:val="21"/>
              </w:rPr>
            </w:pPr>
            <w:r>
              <w:rPr>
                <w:rFonts w:hint="eastAsia" w:ascii="黑体" w:hAnsi="黑体" w:eastAsia="黑体" w:cs="黑体"/>
                <w:b w:val="0"/>
                <w:bCs w:val="0"/>
                <w:color w:val="000000"/>
                <w:kern w:val="0"/>
                <w:szCs w:val="21"/>
              </w:rPr>
              <w:t>价格</w:t>
            </w:r>
          </w:p>
        </w:tc>
        <w:tc>
          <w:tcPr>
            <w:tcW w:w="2186" w:type="dxa"/>
            <w:tcBorders>
              <w:bottom w:val="single" w:color="auto" w:sz="4" w:space="0"/>
            </w:tcBorders>
            <w:vAlign w:val="center"/>
          </w:tcPr>
          <w:p>
            <w:pPr>
              <w:jc w:val="center"/>
              <w:rPr>
                <w:rFonts w:hint="eastAsia" w:ascii="仿宋_GB2312" w:hAnsi="仿宋_GB2312" w:eastAsia="仿宋_GB2312" w:cs="仿宋_GB2312"/>
                <w:color w:val="000000"/>
                <w:kern w:val="0"/>
                <w:sz w:val="24"/>
                <w:lang w:val="zh-CN"/>
              </w:rPr>
            </w:pPr>
            <w:r>
              <w:rPr>
                <w:rFonts w:hint="eastAsia" w:ascii="仿宋_GB2312" w:hAnsi="仿宋_GB2312" w:eastAsia="仿宋_GB2312" w:cs="仿宋_GB2312"/>
                <w:color w:val="000000"/>
                <w:kern w:val="0"/>
                <w:sz w:val="24"/>
                <w:lang w:val="zh-CN"/>
              </w:rPr>
              <w:t>性价比高</w:t>
            </w:r>
          </w:p>
        </w:tc>
        <w:tc>
          <w:tcPr>
            <w:tcW w:w="2004" w:type="dxa"/>
            <w:tcBorders>
              <w:bottom w:val="single" w:color="auto" w:sz="4" w:space="0"/>
            </w:tcBorders>
            <w:vAlign w:val="center"/>
          </w:tcPr>
          <w:p>
            <w:pPr>
              <w:jc w:val="center"/>
              <w:rPr>
                <w:rFonts w:hint="eastAsia" w:ascii="仿宋_GB2312" w:hAnsi="仿宋_GB2312" w:eastAsia="仿宋_GB2312" w:cs="仿宋_GB2312"/>
                <w:color w:val="000000"/>
                <w:kern w:val="0"/>
                <w:sz w:val="24"/>
                <w:lang w:val="zh-CN"/>
              </w:rPr>
            </w:pPr>
            <w:r>
              <w:rPr>
                <w:rFonts w:hint="eastAsia" w:ascii="仿宋_GB2312" w:hAnsi="仿宋_GB2312" w:eastAsia="仿宋_GB2312" w:cs="仿宋_GB2312"/>
                <w:color w:val="000000"/>
                <w:kern w:val="0"/>
                <w:sz w:val="24"/>
                <w:lang w:val="zh-CN"/>
              </w:rPr>
              <w:t>价格高</w:t>
            </w:r>
          </w:p>
        </w:tc>
        <w:tc>
          <w:tcPr>
            <w:tcW w:w="2424" w:type="dxa"/>
            <w:tcBorders>
              <w:bottom w:val="single" w:color="auto" w:sz="4" w:space="0"/>
            </w:tcBorders>
            <w:vAlign w:val="center"/>
          </w:tcPr>
          <w:p>
            <w:pPr>
              <w:jc w:val="center"/>
              <w:rPr>
                <w:rFonts w:hint="eastAsia" w:ascii="仿宋_GB2312" w:hAnsi="仿宋_GB2312" w:eastAsia="仿宋_GB2312" w:cs="仿宋_GB2312"/>
                <w:color w:val="000000"/>
                <w:kern w:val="0"/>
                <w:sz w:val="24"/>
                <w:lang w:val="zh-CN"/>
              </w:rPr>
            </w:pPr>
            <w:r>
              <w:rPr>
                <w:rFonts w:hint="eastAsia" w:ascii="仿宋_GB2312" w:hAnsi="仿宋_GB2312" w:eastAsia="仿宋_GB2312" w:cs="仿宋_GB2312"/>
                <w:color w:val="000000"/>
                <w:kern w:val="0"/>
                <w:sz w:val="24"/>
                <w:lang w:val="zh-CN"/>
              </w:rPr>
              <w:t>价格高，性价比不高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52" w:type="dxa"/>
            <w:vAlign w:val="center"/>
          </w:tcPr>
          <w:p>
            <w:pPr>
              <w:jc w:val="center"/>
              <w:rPr>
                <w:rFonts w:hint="eastAsia" w:ascii="黑体" w:hAnsi="黑体" w:eastAsia="黑体" w:cs="黑体"/>
                <w:b/>
                <w:bCs/>
                <w:kern w:val="0"/>
                <w:szCs w:val="21"/>
              </w:rPr>
            </w:pPr>
            <w:r>
              <w:rPr>
                <w:rFonts w:hint="eastAsia" w:ascii="黑体" w:hAnsi="黑体" w:eastAsia="黑体" w:cs="黑体"/>
                <w:b/>
                <w:bCs/>
                <w:kern w:val="0"/>
                <w:szCs w:val="21"/>
              </w:rPr>
              <w:t>售后服务</w:t>
            </w:r>
          </w:p>
        </w:tc>
        <w:tc>
          <w:tcPr>
            <w:tcW w:w="1824" w:type="dxa"/>
            <w:tcBorders>
              <w:bottom w:val="single" w:color="auto" w:sz="4" w:space="0"/>
            </w:tcBorders>
            <w:vAlign w:val="center"/>
          </w:tcPr>
          <w:p>
            <w:pPr>
              <w:jc w:val="center"/>
              <w:rPr>
                <w:rFonts w:hint="eastAsia" w:ascii="黑体" w:hAnsi="黑体" w:eastAsia="黑体" w:cs="黑体"/>
                <w:b w:val="0"/>
                <w:bCs w:val="0"/>
                <w:kern w:val="0"/>
                <w:szCs w:val="21"/>
              </w:rPr>
            </w:pPr>
            <w:r>
              <w:rPr>
                <w:rFonts w:hint="eastAsia" w:ascii="黑体" w:hAnsi="黑体" w:eastAsia="黑体" w:cs="黑体"/>
                <w:b w:val="0"/>
                <w:bCs w:val="0"/>
                <w:color w:val="000000"/>
                <w:szCs w:val="21"/>
              </w:rPr>
              <w:t>售后服务</w:t>
            </w:r>
          </w:p>
        </w:tc>
        <w:tc>
          <w:tcPr>
            <w:tcW w:w="2186" w:type="dxa"/>
            <w:tcBorders>
              <w:bottom w:val="single" w:color="auto" w:sz="4" w:space="0"/>
            </w:tcBorders>
            <w:vAlign w:val="center"/>
          </w:tcPr>
          <w:p>
            <w:pPr>
              <w:jc w:val="center"/>
              <w:rPr>
                <w:rFonts w:hint="eastAsia" w:ascii="仿宋_GB2312" w:hAnsi="仿宋_GB2312" w:eastAsia="仿宋_GB2312" w:cs="仿宋_GB2312"/>
                <w:color w:val="000000"/>
                <w:kern w:val="0"/>
                <w:sz w:val="24"/>
                <w:lang w:val="zh-CN"/>
              </w:rPr>
            </w:pPr>
            <w:r>
              <w:rPr>
                <w:rFonts w:hint="eastAsia" w:ascii="仿宋_GB2312" w:hAnsi="仿宋_GB2312" w:eastAsia="仿宋_GB2312" w:cs="仿宋_GB2312"/>
                <w:color w:val="000000"/>
                <w:kern w:val="0"/>
                <w:sz w:val="24"/>
                <w:lang w:val="zh-CN"/>
              </w:rPr>
              <w:t>在福州设有售后服务中心，并有六名维修人员，服务及时，技术力量强。</w:t>
            </w:r>
          </w:p>
        </w:tc>
        <w:tc>
          <w:tcPr>
            <w:tcW w:w="2004" w:type="dxa"/>
            <w:tcBorders>
              <w:bottom w:val="single" w:color="auto" w:sz="4" w:space="0"/>
            </w:tcBorders>
            <w:vAlign w:val="center"/>
          </w:tcPr>
          <w:p>
            <w:pPr>
              <w:jc w:val="center"/>
              <w:rPr>
                <w:rFonts w:hint="eastAsia" w:ascii="仿宋_GB2312" w:hAnsi="仿宋_GB2312" w:eastAsia="仿宋_GB2312" w:cs="仿宋_GB2312"/>
                <w:color w:val="000000"/>
                <w:kern w:val="0"/>
                <w:sz w:val="24"/>
                <w:lang w:val="zh-CN"/>
              </w:rPr>
            </w:pPr>
            <w:r>
              <w:rPr>
                <w:rFonts w:hint="eastAsia" w:ascii="仿宋_GB2312" w:hAnsi="仿宋_GB2312" w:eastAsia="仿宋_GB2312" w:cs="仿宋_GB2312"/>
                <w:color w:val="000000"/>
                <w:kern w:val="0"/>
                <w:sz w:val="24"/>
                <w:lang w:val="zh-CN"/>
              </w:rPr>
              <w:t>在福建只有一名售后服务人员</w:t>
            </w:r>
          </w:p>
        </w:tc>
        <w:tc>
          <w:tcPr>
            <w:tcW w:w="2424" w:type="dxa"/>
            <w:tcBorders>
              <w:bottom w:val="single" w:color="auto" w:sz="4" w:space="0"/>
            </w:tcBorders>
          </w:tcPr>
          <w:p>
            <w:pPr>
              <w:jc w:val="center"/>
              <w:rPr>
                <w:rFonts w:hint="eastAsia" w:ascii="仿宋_GB2312" w:hAnsi="仿宋_GB2312" w:eastAsia="仿宋_GB2312" w:cs="仿宋_GB2312"/>
                <w:color w:val="000000"/>
                <w:kern w:val="0"/>
                <w:sz w:val="24"/>
                <w:lang w:val="zh-CN"/>
              </w:rPr>
            </w:pPr>
          </w:p>
          <w:p>
            <w:pPr>
              <w:jc w:val="center"/>
              <w:rPr>
                <w:rFonts w:hint="eastAsia" w:ascii="仿宋_GB2312" w:hAnsi="仿宋_GB2312" w:eastAsia="仿宋_GB2312" w:cs="仿宋_GB2312"/>
                <w:color w:val="000000"/>
                <w:kern w:val="0"/>
                <w:sz w:val="24"/>
                <w:lang w:val="zh-CN"/>
              </w:rPr>
            </w:pPr>
            <w:r>
              <w:rPr>
                <w:rFonts w:hint="eastAsia" w:ascii="仿宋_GB2312" w:hAnsi="仿宋_GB2312" w:eastAsia="仿宋_GB2312" w:cs="仿宋_GB2312"/>
                <w:color w:val="000000"/>
                <w:kern w:val="0"/>
                <w:sz w:val="24"/>
                <w:lang w:val="zh-CN"/>
              </w:rPr>
              <w:t>仅有一名维修工程师，福建省内无服务维修点</w:t>
            </w:r>
          </w:p>
        </w:tc>
      </w:tr>
    </w:tbl>
    <w:p>
      <w:pPr>
        <w:snapToGrid w:val="0"/>
        <w:spacing w:line="54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国产同类产品</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国产设备功能不足、无法解决实际问题，无法达到很好的重复性效果。</w:t>
      </w:r>
    </w:p>
    <w:p>
      <w:pPr>
        <w:snapToGrid w:val="0"/>
        <w:spacing w:line="540" w:lineRule="exact"/>
        <w:ind w:firstLine="640" w:firstLineChars="200"/>
        <w:jc w:val="left"/>
        <w:rPr>
          <w:rFonts w:hint="eastAsia" w:ascii="黑体" w:hAnsi="黑体" w:eastAsia="黑体" w:cs="黑体"/>
          <w:color w:val="000000"/>
          <w:sz w:val="32"/>
          <w:szCs w:val="32"/>
        </w:rPr>
      </w:pPr>
      <w:r>
        <w:rPr>
          <w:rFonts w:hint="eastAsia" w:ascii="黑体" w:hAnsi="黑体" w:eastAsia="黑体" w:cs="黑体"/>
          <w:color w:val="000000"/>
          <w:sz w:val="32"/>
          <w:szCs w:val="32"/>
        </w:rPr>
        <w:t>四、条件准备情况</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实验室具备电（220V单相电源）、通风（排气系统）、实验平台（尺寸大于50 x 55 cm, 可以承32Kg以上的设备）等安装条件。</w:t>
      </w:r>
    </w:p>
    <w:p>
      <w:pPr>
        <w:snapToGrid w:val="0"/>
        <w:spacing w:line="540" w:lineRule="exact"/>
        <w:ind w:firstLine="640" w:firstLineChars="200"/>
        <w:jc w:val="left"/>
        <w:rPr>
          <w:rFonts w:hint="eastAsia" w:ascii="黑体" w:hAnsi="黑体" w:eastAsia="黑体" w:cs="黑体"/>
          <w:color w:val="000000"/>
          <w:sz w:val="32"/>
          <w:szCs w:val="32"/>
        </w:rPr>
      </w:pPr>
      <w:r>
        <w:rPr>
          <w:rFonts w:hint="eastAsia" w:ascii="黑体" w:hAnsi="黑体" w:eastAsia="黑体" w:cs="黑体"/>
          <w:color w:val="000000"/>
          <w:sz w:val="32"/>
          <w:szCs w:val="32"/>
        </w:rPr>
        <w:t>五、可能存在的安全性问题</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该设备使用过程无放射物产生，可能产生少量废气可由通风净化系统处理，不会产生安全性问题。</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84A8F"/>
    <w:rsid w:val="007569AC"/>
    <w:rsid w:val="00B64DA9"/>
    <w:rsid w:val="00E53B2D"/>
    <w:rsid w:val="00EB7E60"/>
    <w:rsid w:val="01EA0E83"/>
    <w:rsid w:val="0301396B"/>
    <w:rsid w:val="05154E61"/>
    <w:rsid w:val="0A6C2012"/>
    <w:rsid w:val="0ACD3951"/>
    <w:rsid w:val="0C2107A9"/>
    <w:rsid w:val="0CF462EF"/>
    <w:rsid w:val="108F4BD1"/>
    <w:rsid w:val="11C95F9C"/>
    <w:rsid w:val="1209283C"/>
    <w:rsid w:val="130628D8"/>
    <w:rsid w:val="1E592455"/>
    <w:rsid w:val="1FBB33A3"/>
    <w:rsid w:val="23201794"/>
    <w:rsid w:val="240E07A9"/>
    <w:rsid w:val="251D242F"/>
    <w:rsid w:val="257B5FDE"/>
    <w:rsid w:val="25C44658"/>
    <w:rsid w:val="288804C3"/>
    <w:rsid w:val="29D46E34"/>
    <w:rsid w:val="2B2160A9"/>
    <w:rsid w:val="2B724B56"/>
    <w:rsid w:val="2C5509C3"/>
    <w:rsid w:val="2E6863BB"/>
    <w:rsid w:val="2E7F7CB6"/>
    <w:rsid w:val="30C84A8F"/>
    <w:rsid w:val="3522139B"/>
    <w:rsid w:val="35BA60CE"/>
    <w:rsid w:val="39C33C94"/>
    <w:rsid w:val="3D0535B4"/>
    <w:rsid w:val="40C33A32"/>
    <w:rsid w:val="417D591D"/>
    <w:rsid w:val="47947ED7"/>
    <w:rsid w:val="483E65AE"/>
    <w:rsid w:val="4BFE6267"/>
    <w:rsid w:val="4C2A6435"/>
    <w:rsid w:val="536D782E"/>
    <w:rsid w:val="55591C47"/>
    <w:rsid w:val="564927D4"/>
    <w:rsid w:val="57D85FAF"/>
    <w:rsid w:val="5F131BD1"/>
    <w:rsid w:val="709541F4"/>
    <w:rsid w:val="70FF1E55"/>
    <w:rsid w:val="736667A4"/>
    <w:rsid w:val="73DB5D1B"/>
    <w:rsid w:val="74543DB5"/>
    <w:rsid w:val="77B27D81"/>
    <w:rsid w:val="784A7291"/>
    <w:rsid w:val="7BD5403F"/>
    <w:rsid w:val="7BFF2E69"/>
    <w:rsid w:val="7E437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uiPriority w:val="0"/>
    <w:pPr>
      <w:tabs>
        <w:tab w:val="center" w:pos="4153"/>
        <w:tab w:val="right" w:pos="8306"/>
      </w:tabs>
      <w:snapToGrid w:val="0"/>
      <w:jc w:val="left"/>
    </w:pPr>
    <w:rPr>
      <w:sz w:val="18"/>
      <w:szCs w:val="18"/>
    </w:rPr>
  </w:style>
  <w:style w:type="paragraph" w:styleId="3">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7">
    <w:name w:val="List Paragraph"/>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
    <w:name w:val="Heading #4|1"/>
    <w:basedOn w:val="1"/>
    <w:qFormat/>
    <w:uiPriority w:val="0"/>
    <w:pPr>
      <w:spacing w:after="70" w:line="414" w:lineRule="exact"/>
      <w:outlineLvl w:val="3"/>
    </w:pPr>
    <w:rPr>
      <w:rFonts w:ascii="宋体" w:hAnsi="宋体" w:eastAsia="宋体" w:cs="宋体"/>
      <w:sz w:val="28"/>
      <w:szCs w:val="28"/>
      <w:lang w:val="zh-TW" w:eastAsia="zh-TW" w:bidi="zh-TW"/>
    </w:rPr>
  </w:style>
  <w:style w:type="paragraph" w:customStyle="1" w:styleId="9">
    <w:name w:val="Body text|1"/>
    <w:basedOn w:val="1"/>
    <w:qFormat/>
    <w:uiPriority w:val="0"/>
    <w:pPr>
      <w:spacing w:after="300" w:line="454" w:lineRule="auto"/>
      <w:ind w:firstLine="400"/>
    </w:pPr>
    <w:rPr>
      <w:rFonts w:ascii="宋体" w:hAnsi="宋体" w:eastAsia="宋体" w:cs="宋体"/>
      <w:sz w:val="22"/>
      <w:szCs w:val="22"/>
      <w:lang w:val="zh-TW" w:eastAsia="zh-TW" w:bidi="zh-TW"/>
    </w:rPr>
  </w:style>
  <w:style w:type="paragraph" w:customStyle="1" w:styleId="10">
    <w:name w:val="Other|1"/>
    <w:basedOn w:val="1"/>
    <w:qFormat/>
    <w:uiPriority w:val="0"/>
    <w:pPr>
      <w:spacing w:after="300" w:line="454" w:lineRule="auto"/>
      <w:ind w:firstLine="400"/>
    </w:pPr>
    <w:rPr>
      <w:rFonts w:ascii="宋体" w:hAnsi="宋体" w:eastAsia="宋体" w:cs="宋体"/>
      <w:sz w:val="22"/>
      <w:szCs w:val="22"/>
      <w:lang w:val="zh-TW" w:eastAsia="zh-TW" w:bidi="zh-TW"/>
    </w:rPr>
  </w:style>
  <w:style w:type="paragraph" w:customStyle="1" w:styleId="11">
    <w:name w:val="Header or footer|2"/>
    <w:basedOn w:val="1"/>
    <w:qFormat/>
    <w:uiPriority w:val="0"/>
    <w:rPr>
      <w:sz w:val="20"/>
      <w:szCs w:val="20"/>
      <w:lang w:val="zh-TW" w:eastAsia="zh-TW" w:bidi="zh-TW"/>
    </w:rPr>
  </w:style>
  <w:style w:type="paragraph" w:customStyle="1" w:styleId="12">
    <w:name w:val="Body text|2"/>
    <w:basedOn w:val="1"/>
    <w:qFormat/>
    <w:uiPriority w:val="0"/>
    <w:pPr>
      <w:spacing w:line="736" w:lineRule="exact"/>
      <w:ind w:left="340" w:hanging="340"/>
    </w:pPr>
    <w:rPr>
      <w:rFonts w:ascii="宋体" w:hAnsi="宋体" w:eastAsia="宋体" w:cs="宋体"/>
      <w:sz w:val="28"/>
      <w:szCs w:val="28"/>
      <w:lang w:val="zh-TW" w:eastAsia="zh-TW" w:bidi="zh-TW"/>
    </w:rPr>
  </w:style>
  <w:style w:type="character" w:customStyle="1" w:styleId="13">
    <w:name w:val="页眉 字符"/>
    <w:basedOn w:val="6"/>
    <w:link w:val="3"/>
    <w:uiPriority w:val="0"/>
    <w:rPr>
      <w:rFonts w:asciiTheme="minorHAnsi" w:hAnsiTheme="minorHAnsi" w:eastAsiaTheme="minorEastAsia" w:cstheme="minorBidi"/>
      <w:kern w:val="2"/>
      <w:sz w:val="18"/>
      <w:szCs w:val="18"/>
    </w:rPr>
  </w:style>
  <w:style w:type="character" w:customStyle="1" w:styleId="14">
    <w:name w:val="页脚 字符"/>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233</Words>
  <Characters>1329</Characters>
  <Lines>11</Lines>
  <Paragraphs>3</Paragraphs>
  <TotalTime>20</TotalTime>
  <ScaleCrop>false</ScaleCrop>
  <LinksUpToDate>false</LinksUpToDate>
  <CharactersWithSpaces>1559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2021-12-03T01:19:00Z</dcterms:created>
  <dc:creator>阿融</dc:creator>
  <cp:lastModifiedBy>阿融</cp:lastModifiedBy>
  <dcterms:modified xsi:type="dcterms:W3CDTF">2021-12-06T04:53:28Z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62737996527D4D749885DEC555C236FB</vt:lpwstr>
  </property>
</Properties>
</file>