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spacing w:before="75" w:beforeAutospacing="0" w:after="75" w:afterAutospacing="0" w:line="405" w:lineRule="atLeast"/>
        <w:ind w:left="0" w:right="0" w:firstLine="0"/>
        <w:jc w:val="center"/>
        <w:rPr>
          <w:rStyle w:val="9"/>
          <w:rFonts w:ascii="宋体" w:hAnsi="宋体" w:eastAsia="宋体" w:cs="宋体"/>
          <w:b/>
          <w:bCs/>
          <w:i w:val="0"/>
          <w:iCs w:val="0"/>
          <w:caps w:val="0"/>
          <w:color w:val="393939"/>
          <w:spacing w:val="0"/>
          <w:sz w:val="72"/>
          <w:szCs w:val="72"/>
          <w:shd w:val="clear" w:fill="FFFFFF"/>
        </w:rPr>
      </w:pPr>
    </w:p>
    <w:p>
      <w:pPr>
        <w:pStyle w:val="6"/>
        <w:keepNext w:val="0"/>
        <w:keepLines w:val="0"/>
        <w:widowControl/>
        <w:suppressLineNumbers w:val="0"/>
        <w:shd w:val="clear" w:fill="FFFFFF"/>
        <w:spacing w:before="75" w:beforeAutospacing="0" w:after="75" w:afterAutospacing="0" w:line="405" w:lineRule="atLeast"/>
        <w:ind w:left="0" w:right="0" w:firstLine="0"/>
        <w:jc w:val="center"/>
        <w:rPr>
          <w:rFonts w:hint="eastAsia" w:ascii="微软雅黑" w:hAnsi="微软雅黑" w:eastAsia="微软雅黑" w:cs="微软雅黑"/>
          <w:b w:val="0"/>
          <w:bCs w:val="0"/>
          <w:i w:val="0"/>
          <w:iCs w:val="0"/>
          <w:caps w:val="0"/>
          <w:color w:val="393939"/>
          <w:spacing w:val="0"/>
          <w:sz w:val="27"/>
          <w:szCs w:val="27"/>
        </w:rPr>
      </w:pPr>
      <w:r>
        <w:rPr>
          <w:rStyle w:val="9"/>
          <w:rFonts w:ascii="宋体" w:hAnsi="宋体" w:eastAsia="宋体" w:cs="宋体"/>
          <w:b/>
          <w:bCs/>
          <w:i w:val="0"/>
          <w:iCs w:val="0"/>
          <w:caps w:val="0"/>
          <w:color w:val="393939"/>
          <w:spacing w:val="0"/>
          <w:sz w:val="72"/>
          <w:szCs w:val="72"/>
          <w:shd w:val="clear" w:fill="FFFFFF"/>
        </w:rPr>
        <w:t>福建省政府采购</w:t>
      </w:r>
    </w:p>
    <w:p>
      <w:pPr>
        <w:pStyle w:val="6"/>
        <w:keepNext w:val="0"/>
        <w:keepLines w:val="0"/>
        <w:widowControl/>
        <w:suppressLineNumbers w:val="0"/>
        <w:shd w:val="clear" w:fill="FFFFFF"/>
        <w:spacing w:before="75" w:beforeAutospacing="0" w:after="75" w:afterAutospacing="0" w:line="405" w:lineRule="atLeast"/>
        <w:ind w:left="0" w:right="0" w:firstLine="0"/>
        <w:jc w:val="center"/>
        <w:rPr>
          <w:rFonts w:hint="eastAsia" w:ascii="微软雅黑" w:hAnsi="微软雅黑" w:eastAsia="微软雅黑" w:cs="微软雅黑"/>
          <w:b w:val="0"/>
          <w:bCs w:val="0"/>
          <w:i w:val="0"/>
          <w:iCs w:val="0"/>
          <w:caps w:val="0"/>
          <w:color w:val="393939"/>
          <w:spacing w:val="0"/>
          <w:sz w:val="27"/>
          <w:szCs w:val="27"/>
        </w:rPr>
      </w:pPr>
      <w:r>
        <w:rPr>
          <w:rStyle w:val="9"/>
          <w:rFonts w:hint="eastAsia" w:ascii="宋体" w:hAnsi="宋体" w:eastAsia="宋体" w:cs="宋体"/>
          <w:b/>
          <w:bCs/>
          <w:i w:val="0"/>
          <w:iCs w:val="0"/>
          <w:caps w:val="0"/>
          <w:color w:val="393939"/>
          <w:spacing w:val="0"/>
          <w:sz w:val="72"/>
          <w:szCs w:val="72"/>
          <w:shd w:val="clear" w:fill="FFFFFF"/>
        </w:rPr>
        <w:t>货物和服务项目</w:t>
      </w:r>
    </w:p>
    <w:p>
      <w:pPr>
        <w:pStyle w:val="6"/>
        <w:keepNext w:val="0"/>
        <w:keepLines w:val="0"/>
        <w:widowControl/>
        <w:suppressLineNumbers w:val="0"/>
        <w:shd w:val="clear" w:fill="FFFFFF"/>
        <w:spacing w:before="75" w:beforeAutospacing="0" w:after="75" w:afterAutospacing="0" w:line="405" w:lineRule="atLeast"/>
        <w:ind w:left="0" w:right="0" w:firstLine="0"/>
        <w:jc w:val="center"/>
        <w:rPr>
          <w:rFonts w:hint="eastAsia" w:ascii="微软雅黑" w:hAnsi="微软雅黑" w:eastAsia="微软雅黑" w:cs="微软雅黑"/>
          <w:b w:val="0"/>
          <w:bCs w:val="0"/>
          <w:i w:val="0"/>
          <w:iCs w:val="0"/>
          <w:caps w:val="0"/>
          <w:color w:val="393939"/>
          <w:spacing w:val="0"/>
          <w:sz w:val="27"/>
          <w:szCs w:val="27"/>
        </w:rPr>
      </w:pPr>
      <w:r>
        <w:rPr>
          <w:rStyle w:val="9"/>
          <w:rFonts w:hint="eastAsia" w:ascii="宋体" w:hAnsi="宋体" w:eastAsia="宋体" w:cs="宋体"/>
          <w:b/>
          <w:bCs/>
          <w:i w:val="0"/>
          <w:iCs w:val="0"/>
          <w:caps w:val="0"/>
          <w:color w:val="393939"/>
          <w:spacing w:val="0"/>
          <w:sz w:val="72"/>
          <w:szCs w:val="72"/>
          <w:shd w:val="clear" w:fill="FFFFFF"/>
        </w:rPr>
        <w:t>公开招标文件</w:t>
      </w:r>
    </w:p>
    <w:p>
      <w:pPr>
        <w:pStyle w:val="6"/>
        <w:keepNext w:val="0"/>
        <w:keepLines w:val="0"/>
        <w:widowControl/>
        <w:suppressLineNumbers w:val="0"/>
        <w:shd w:val="clear" w:fill="FFFFFF"/>
        <w:spacing w:before="75" w:beforeAutospacing="0" w:after="75" w:afterAutospacing="0" w:line="405" w:lineRule="atLeast"/>
        <w:ind w:left="0" w:right="0" w:firstLine="0"/>
        <w:rPr>
          <w:rFonts w:hint="eastAsia" w:ascii="微软雅黑" w:hAnsi="微软雅黑" w:eastAsia="微软雅黑" w:cs="微软雅黑"/>
          <w:b w:val="0"/>
          <w:bCs w:val="0"/>
          <w:i w:val="0"/>
          <w:iCs w:val="0"/>
          <w:caps w:val="0"/>
          <w:color w:val="393939"/>
          <w:spacing w:val="0"/>
          <w:sz w:val="27"/>
          <w:szCs w:val="27"/>
        </w:rPr>
      </w:pPr>
      <w:r>
        <w:rPr>
          <w:rStyle w:val="9"/>
          <w:rFonts w:hint="eastAsia" w:ascii="宋体" w:hAnsi="宋体" w:eastAsia="宋体" w:cs="宋体"/>
          <w:b/>
          <w:bCs/>
          <w:i w:val="0"/>
          <w:iCs w:val="0"/>
          <w:caps w:val="0"/>
          <w:color w:val="393939"/>
          <w:spacing w:val="0"/>
          <w:sz w:val="72"/>
          <w:szCs w:val="72"/>
          <w:shd w:val="clear" w:fill="FFFFFF"/>
        </w:rPr>
        <w:t>     </w:t>
      </w:r>
      <w:r>
        <w:rPr>
          <w:rFonts w:hint="eastAsia" w:ascii="微软雅黑" w:hAnsi="微软雅黑" w:eastAsia="微软雅黑" w:cs="微软雅黑"/>
          <w:b w:val="0"/>
          <w:bCs w:val="0"/>
          <w:i w:val="0"/>
          <w:iCs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line="405" w:lineRule="atLeast"/>
        <w:ind w:left="0" w:right="0" w:firstLine="0"/>
        <w:rPr>
          <w:rFonts w:hint="eastAsia" w:ascii="微软雅黑" w:hAnsi="微软雅黑" w:eastAsia="微软雅黑" w:cs="微软雅黑"/>
          <w:b w:val="0"/>
          <w:bCs w:val="0"/>
          <w:i w:val="0"/>
          <w:iCs w:val="0"/>
          <w:caps w:val="0"/>
          <w:color w:val="393939"/>
          <w:spacing w:val="0"/>
          <w:sz w:val="27"/>
          <w:szCs w:val="27"/>
        </w:rPr>
      </w:pPr>
      <w:r>
        <w:rPr>
          <w:rFonts w:hint="eastAsia" w:ascii="微软雅黑" w:hAnsi="微软雅黑" w:eastAsia="微软雅黑" w:cs="微软雅黑"/>
          <w:b w:val="0"/>
          <w:bCs w:val="0"/>
          <w:i w:val="0"/>
          <w:iCs w:val="0"/>
          <w:caps w:val="0"/>
          <w:color w:val="393939"/>
          <w:spacing w:val="0"/>
          <w:sz w:val="24"/>
          <w:szCs w:val="24"/>
          <w:shd w:val="clear" w:fill="FFFFFF"/>
        </w:rPr>
        <w:t> </w:t>
      </w:r>
      <w:r>
        <w:rPr>
          <w:rStyle w:val="9"/>
          <w:rFonts w:hint="eastAsia" w:ascii="宋体" w:hAnsi="宋体" w:eastAsia="宋体" w:cs="宋体"/>
          <w:b/>
          <w:bCs/>
          <w:i w:val="0"/>
          <w:iCs w:val="0"/>
          <w:caps w:val="0"/>
          <w:color w:val="393939"/>
          <w:spacing w:val="0"/>
          <w:sz w:val="36"/>
          <w:szCs w:val="36"/>
          <w:shd w:val="clear" w:fill="FFFFFF"/>
        </w:rPr>
        <w:t> </w:t>
      </w:r>
    </w:p>
    <w:p>
      <w:pPr>
        <w:pStyle w:val="6"/>
        <w:keepNext w:val="0"/>
        <w:keepLines w:val="0"/>
        <w:widowControl/>
        <w:suppressLineNumbers w:val="0"/>
        <w:shd w:val="clear" w:fill="FFFFFF"/>
        <w:spacing w:before="75" w:beforeAutospacing="0" w:after="75" w:afterAutospacing="0" w:line="405" w:lineRule="atLeast"/>
        <w:ind w:left="0" w:right="0" w:firstLine="0"/>
        <w:jc w:val="center"/>
        <w:rPr>
          <w:rFonts w:hint="eastAsia" w:ascii="微软雅黑" w:hAnsi="微软雅黑" w:eastAsia="微软雅黑" w:cs="微软雅黑"/>
          <w:b w:val="0"/>
          <w:bCs w:val="0"/>
          <w:i w:val="0"/>
          <w:iCs w:val="0"/>
          <w:caps w:val="0"/>
          <w:color w:val="393939"/>
          <w:spacing w:val="0"/>
          <w:sz w:val="27"/>
          <w:szCs w:val="27"/>
        </w:rPr>
      </w:pPr>
      <w:r>
        <w:rPr>
          <w:rStyle w:val="9"/>
          <w:rFonts w:hint="eastAsia" w:ascii="宋体" w:hAnsi="宋体" w:eastAsia="宋体" w:cs="宋体"/>
          <w:b/>
          <w:bCs/>
          <w:i w:val="0"/>
          <w:iCs w:val="0"/>
          <w:caps w:val="0"/>
          <w:color w:val="393939"/>
          <w:spacing w:val="0"/>
          <w:sz w:val="30"/>
          <w:szCs w:val="30"/>
          <w:shd w:val="clear" w:fill="FFFFFF"/>
        </w:rPr>
        <w:t> </w:t>
      </w:r>
    </w:p>
    <w:p>
      <w:pPr>
        <w:pStyle w:val="6"/>
        <w:keepNext w:val="0"/>
        <w:keepLines w:val="0"/>
        <w:widowControl/>
        <w:suppressLineNumbers w:val="0"/>
        <w:shd w:val="clear" w:fill="FFFFFF"/>
        <w:spacing w:before="75" w:beforeAutospacing="0" w:after="75" w:afterAutospacing="0" w:line="405" w:lineRule="atLeast"/>
        <w:ind w:left="0" w:right="0" w:firstLine="1050"/>
        <w:rPr>
          <w:rFonts w:hint="eastAsia" w:ascii="微软雅黑" w:hAnsi="微软雅黑" w:eastAsia="微软雅黑" w:cs="微软雅黑"/>
          <w:b w:val="0"/>
          <w:bCs w:val="0"/>
          <w:i w:val="0"/>
          <w:iCs w:val="0"/>
          <w:caps w:val="0"/>
          <w:color w:val="393939"/>
          <w:spacing w:val="0"/>
          <w:sz w:val="27"/>
          <w:szCs w:val="27"/>
        </w:rPr>
      </w:pPr>
      <w:r>
        <w:rPr>
          <w:rStyle w:val="9"/>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清源创新实验室引进人才周转房采购项目</w:t>
      </w:r>
    </w:p>
    <w:p>
      <w:pPr>
        <w:pStyle w:val="6"/>
        <w:keepNext w:val="0"/>
        <w:keepLines w:val="0"/>
        <w:widowControl/>
        <w:suppressLineNumbers w:val="0"/>
        <w:shd w:val="clear" w:fill="FFFFFF"/>
        <w:spacing w:before="75" w:beforeAutospacing="0" w:after="75" w:afterAutospacing="0" w:line="405" w:lineRule="atLeast"/>
        <w:ind w:left="0" w:right="0" w:firstLine="0"/>
        <w:rPr>
          <w:rFonts w:hint="eastAsia" w:ascii="微软雅黑" w:hAnsi="微软雅黑" w:eastAsia="微软雅黑" w:cs="微软雅黑"/>
          <w:b w:val="0"/>
          <w:bCs w:val="0"/>
          <w:i w:val="0"/>
          <w:iCs w:val="0"/>
          <w:caps w:val="0"/>
          <w:color w:val="393939"/>
          <w:spacing w:val="0"/>
          <w:sz w:val="27"/>
          <w:szCs w:val="27"/>
        </w:rPr>
      </w:pPr>
      <w:r>
        <w:rPr>
          <w:rFonts w:hint="eastAsia" w:ascii="微软雅黑" w:hAnsi="微软雅黑" w:eastAsia="微软雅黑" w:cs="微软雅黑"/>
          <w:b w:val="0"/>
          <w:bCs w:val="0"/>
          <w:i w:val="0"/>
          <w:iCs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line="405" w:lineRule="atLeast"/>
        <w:ind w:left="0" w:right="0" w:firstLine="1050"/>
        <w:rPr>
          <w:rFonts w:hint="eastAsia" w:ascii="微软雅黑" w:hAnsi="微软雅黑" w:eastAsia="微软雅黑" w:cs="微软雅黑"/>
          <w:b w:val="0"/>
          <w:bCs w:val="0"/>
          <w:i w:val="0"/>
          <w:iCs w:val="0"/>
          <w:caps w:val="0"/>
          <w:color w:val="393939"/>
          <w:spacing w:val="0"/>
          <w:sz w:val="27"/>
          <w:szCs w:val="27"/>
        </w:rPr>
      </w:pPr>
      <w:r>
        <w:rPr>
          <w:rStyle w:val="9"/>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C-QYCX-GK-202108-B0355-MZZJ</w:t>
      </w:r>
    </w:p>
    <w:p>
      <w:pPr>
        <w:pStyle w:val="6"/>
        <w:keepNext w:val="0"/>
        <w:keepLines w:val="0"/>
        <w:widowControl/>
        <w:suppressLineNumbers w:val="0"/>
        <w:shd w:val="clear" w:fill="FFFFFF"/>
        <w:spacing w:before="75" w:beforeAutospacing="0" w:after="75" w:afterAutospacing="0" w:line="405" w:lineRule="atLeast"/>
        <w:ind w:left="0" w:right="0" w:firstLine="0"/>
        <w:rPr>
          <w:rFonts w:hint="eastAsia" w:ascii="微软雅黑" w:hAnsi="微软雅黑" w:eastAsia="微软雅黑" w:cs="微软雅黑"/>
          <w:b w:val="0"/>
          <w:bCs w:val="0"/>
          <w:i w:val="0"/>
          <w:iCs w:val="0"/>
          <w:caps w:val="0"/>
          <w:color w:val="393939"/>
          <w:spacing w:val="0"/>
          <w:sz w:val="27"/>
          <w:szCs w:val="27"/>
        </w:rPr>
      </w:pPr>
      <w:r>
        <w:rPr>
          <w:rFonts w:hint="eastAsia" w:ascii="微软雅黑" w:hAnsi="微软雅黑" w:eastAsia="微软雅黑" w:cs="微软雅黑"/>
          <w:b w:val="0"/>
          <w:bCs w:val="0"/>
          <w:i w:val="0"/>
          <w:iCs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line="405" w:lineRule="atLeast"/>
        <w:ind w:left="0" w:right="0" w:firstLine="1050"/>
        <w:rPr>
          <w:rFonts w:hint="eastAsia" w:ascii="微软雅黑" w:hAnsi="微软雅黑" w:eastAsia="微软雅黑" w:cs="微软雅黑"/>
          <w:b w:val="0"/>
          <w:bCs w:val="0"/>
          <w:i w:val="0"/>
          <w:iCs w:val="0"/>
          <w:caps w:val="0"/>
          <w:color w:val="393939"/>
          <w:spacing w:val="0"/>
          <w:sz w:val="27"/>
          <w:szCs w:val="27"/>
        </w:rPr>
      </w:pPr>
      <w:r>
        <w:rPr>
          <w:rStyle w:val="9"/>
          <w:rFonts w:hint="eastAsia" w:ascii="宋体" w:hAnsi="宋体" w:eastAsia="宋体" w:cs="宋体"/>
          <w:b/>
          <w:bCs/>
          <w:i w:val="0"/>
          <w:iCs w:val="0"/>
          <w:caps w:val="0"/>
          <w:color w:val="393939"/>
          <w:spacing w:val="0"/>
          <w:sz w:val="30"/>
          <w:szCs w:val="30"/>
          <w:shd w:val="clear" w:fill="FFFFFF"/>
        </w:rPr>
        <w:t> 招标编号：</w:t>
      </w:r>
      <w:r>
        <w:rPr>
          <w:rFonts w:hint="eastAsia" w:ascii="宋体" w:hAnsi="宋体" w:eastAsia="宋体" w:cs="宋体"/>
          <w:b/>
          <w:bCs/>
          <w:i w:val="0"/>
          <w:iCs w:val="0"/>
          <w:caps w:val="0"/>
          <w:color w:val="393939"/>
          <w:spacing w:val="0"/>
          <w:sz w:val="30"/>
          <w:szCs w:val="30"/>
          <w:shd w:val="clear" w:fill="FFFFFF"/>
        </w:rPr>
        <w:t>[350500]MZZJ[GK]2021001</w:t>
      </w:r>
      <w:r>
        <w:rPr>
          <w:rStyle w:val="9"/>
          <w:rFonts w:hint="eastAsia" w:ascii="宋体" w:hAnsi="宋体" w:eastAsia="宋体" w:cs="宋体"/>
          <w:b/>
          <w:bCs/>
          <w:i w:val="0"/>
          <w:iCs w:val="0"/>
          <w:caps w:val="0"/>
          <w:color w:val="393939"/>
          <w:spacing w:val="0"/>
          <w:sz w:val="30"/>
          <w:szCs w:val="30"/>
          <w:shd w:val="clear" w:fill="FFFFFF"/>
        </w:rPr>
        <w:br w:type="textWrapping"/>
      </w:r>
      <w:r>
        <w:rPr>
          <w:rStyle w:val="9"/>
          <w:rFonts w:hint="eastAsia" w:ascii="宋体" w:hAnsi="宋体" w:eastAsia="宋体" w:cs="宋体"/>
          <w:b/>
          <w:bCs/>
          <w:i w:val="0"/>
          <w:iCs w:val="0"/>
          <w:caps w:val="0"/>
          <w:color w:val="393939"/>
          <w:spacing w:val="0"/>
          <w:sz w:val="30"/>
          <w:szCs w:val="30"/>
          <w:shd w:val="clear" w:fill="FFFFFF"/>
        </w:rPr>
        <w:t>                   </w:t>
      </w:r>
    </w:p>
    <w:p>
      <w:pPr>
        <w:pStyle w:val="6"/>
        <w:keepNext w:val="0"/>
        <w:keepLines w:val="0"/>
        <w:widowControl/>
        <w:suppressLineNumbers w:val="0"/>
        <w:shd w:val="clear" w:fill="FFFFFF"/>
        <w:spacing w:before="75" w:beforeAutospacing="0" w:after="75" w:afterAutospacing="0" w:line="405" w:lineRule="atLeast"/>
        <w:ind w:left="0" w:right="0" w:firstLine="0"/>
      </w:pPr>
    </w:p>
    <w:p>
      <w:pPr>
        <w:pStyle w:val="6"/>
        <w:keepNext w:val="0"/>
        <w:keepLines w:val="0"/>
        <w:widowControl/>
        <w:suppressLineNumbers w:val="0"/>
        <w:shd w:val="clear" w:fill="FFFFFF"/>
        <w:spacing w:before="75" w:beforeAutospacing="0" w:after="75" w:afterAutospacing="0" w:line="405" w:lineRule="atLeast"/>
        <w:ind w:left="0" w:right="0" w:firstLine="0"/>
        <w:rPr>
          <w:rFonts w:hint="eastAsia" w:ascii="微软雅黑" w:hAnsi="微软雅黑" w:eastAsia="微软雅黑" w:cs="微软雅黑"/>
          <w:b w:val="0"/>
          <w:bCs w:val="0"/>
          <w:i w:val="0"/>
          <w:iCs w:val="0"/>
          <w:caps w:val="0"/>
          <w:color w:val="393939"/>
          <w:spacing w:val="0"/>
          <w:sz w:val="27"/>
          <w:szCs w:val="27"/>
        </w:rPr>
      </w:pPr>
      <w:r>
        <w:rPr>
          <w:rFonts w:hint="eastAsia" w:ascii="微软雅黑" w:hAnsi="微软雅黑" w:eastAsia="微软雅黑" w:cs="微软雅黑"/>
          <w:b w:val="0"/>
          <w:bCs w:val="0"/>
          <w:i w:val="0"/>
          <w:iCs w:val="0"/>
          <w:caps w:val="0"/>
          <w:color w:val="393939"/>
          <w:spacing w:val="0"/>
          <w:sz w:val="24"/>
          <w:szCs w:val="24"/>
          <w:shd w:val="clear" w:fill="FFFFFF"/>
        </w:rPr>
        <w:t>                        </w:t>
      </w:r>
      <w:r>
        <w:rPr>
          <w:rStyle w:val="9"/>
          <w:rFonts w:hint="eastAsia" w:ascii="宋体" w:hAnsi="宋体" w:eastAsia="宋体" w:cs="宋体"/>
          <w:b/>
          <w:bCs/>
          <w:i w:val="0"/>
          <w:iCs w:val="0"/>
          <w:caps w:val="0"/>
          <w:color w:val="393939"/>
          <w:spacing w:val="0"/>
          <w:sz w:val="27"/>
          <w:szCs w:val="27"/>
          <w:shd w:val="clear" w:fill="FFFFFF"/>
        </w:rPr>
        <w:t>采购人：</w:t>
      </w:r>
      <w:r>
        <w:rPr>
          <w:rFonts w:hint="eastAsia" w:ascii="微软雅黑" w:hAnsi="微软雅黑" w:eastAsia="微软雅黑" w:cs="微软雅黑"/>
          <w:b w:val="0"/>
          <w:bCs w:val="0"/>
          <w:i w:val="0"/>
          <w:iCs w:val="0"/>
          <w:caps w:val="0"/>
          <w:color w:val="393939"/>
          <w:spacing w:val="0"/>
          <w:sz w:val="27"/>
          <w:szCs w:val="27"/>
          <w:shd w:val="clear" w:fill="FFFFFF"/>
        </w:rPr>
        <w:t> </w:t>
      </w:r>
      <w:r>
        <w:rPr>
          <w:rFonts w:hint="eastAsia" w:ascii="宋体" w:hAnsi="宋体" w:eastAsia="宋体" w:cs="宋体"/>
          <w:b/>
          <w:bCs/>
          <w:i w:val="0"/>
          <w:iCs w:val="0"/>
          <w:caps w:val="0"/>
          <w:color w:val="393939"/>
          <w:spacing w:val="0"/>
          <w:sz w:val="28"/>
          <w:szCs w:val="28"/>
          <w:shd w:val="clear" w:fill="FFFFFF"/>
        </w:rPr>
        <w:t>清源创新实验室</w:t>
      </w:r>
    </w:p>
    <w:p>
      <w:pPr>
        <w:pStyle w:val="6"/>
        <w:keepNext w:val="0"/>
        <w:keepLines w:val="0"/>
        <w:widowControl/>
        <w:suppressLineNumbers w:val="0"/>
        <w:shd w:val="clear" w:fill="FFFFFF"/>
        <w:spacing w:before="75" w:beforeAutospacing="0" w:after="75" w:afterAutospacing="0" w:line="405" w:lineRule="atLeast"/>
        <w:ind w:left="0" w:right="0" w:firstLine="0"/>
        <w:jc w:val="center"/>
        <w:rPr>
          <w:rFonts w:hint="eastAsia" w:ascii="微软雅黑" w:hAnsi="微软雅黑" w:eastAsia="微软雅黑" w:cs="微软雅黑"/>
          <w:b w:val="0"/>
          <w:bCs w:val="0"/>
          <w:i w:val="0"/>
          <w:iCs w:val="0"/>
          <w:caps w:val="0"/>
          <w:color w:val="393939"/>
          <w:spacing w:val="0"/>
          <w:sz w:val="27"/>
          <w:szCs w:val="27"/>
        </w:rPr>
      </w:pPr>
      <w:r>
        <w:rPr>
          <w:rStyle w:val="9"/>
          <w:rFonts w:hint="eastAsia" w:ascii="宋体" w:hAnsi="宋体" w:eastAsia="宋体" w:cs="宋体"/>
          <w:b/>
          <w:bCs/>
          <w:i w:val="0"/>
          <w:iCs w:val="0"/>
          <w:caps w:val="0"/>
          <w:color w:val="393939"/>
          <w:spacing w:val="0"/>
          <w:sz w:val="28"/>
          <w:szCs w:val="28"/>
          <w:shd w:val="clear" w:fill="FFFFFF"/>
        </w:rPr>
        <w:t>代理机构：</w:t>
      </w:r>
      <w:r>
        <w:rPr>
          <w:rFonts w:hint="eastAsia" w:ascii="宋体" w:hAnsi="宋体" w:eastAsia="宋体" w:cs="宋体"/>
          <w:b/>
          <w:bCs/>
          <w:i w:val="0"/>
          <w:iCs w:val="0"/>
          <w:caps w:val="0"/>
          <w:color w:val="393939"/>
          <w:spacing w:val="0"/>
          <w:sz w:val="28"/>
          <w:szCs w:val="28"/>
          <w:shd w:val="clear" w:fill="FFFFFF"/>
        </w:rPr>
        <w:t>福建省闽咨造价咨询有限公司</w:t>
      </w:r>
    </w:p>
    <w:p>
      <w:pPr>
        <w:pStyle w:val="6"/>
        <w:keepNext w:val="0"/>
        <w:keepLines w:val="0"/>
        <w:widowControl/>
        <w:suppressLineNumbers w:val="0"/>
        <w:shd w:val="clear" w:fill="FFFFFF"/>
        <w:spacing w:before="75" w:beforeAutospacing="0" w:after="75" w:afterAutospacing="0" w:line="405" w:lineRule="atLeast"/>
        <w:ind w:left="0" w:right="0" w:firstLine="0"/>
        <w:jc w:val="center"/>
        <w:rPr>
          <w:rFonts w:hint="eastAsia" w:ascii="微软雅黑" w:hAnsi="微软雅黑" w:eastAsia="微软雅黑" w:cs="微软雅黑"/>
          <w:b w:val="0"/>
          <w:bCs w:val="0"/>
          <w:i w:val="0"/>
          <w:iCs w:val="0"/>
          <w:caps w:val="0"/>
          <w:color w:val="393939"/>
          <w:spacing w:val="0"/>
          <w:sz w:val="27"/>
          <w:szCs w:val="27"/>
        </w:rPr>
      </w:pPr>
      <w:r>
        <w:rPr>
          <w:rFonts w:hint="eastAsia" w:ascii="微软雅黑" w:hAnsi="微软雅黑" w:eastAsia="微软雅黑" w:cs="微软雅黑"/>
          <w:b w:val="0"/>
          <w:bCs w:val="0"/>
          <w:i w:val="0"/>
          <w:iCs w:val="0"/>
          <w:caps w:val="0"/>
          <w:color w:val="393939"/>
          <w:spacing w:val="0"/>
          <w:sz w:val="27"/>
          <w:szCs w:val="27"/>
          <w:shd w:val="clear" w:fill="FFFFFF"/>
        </w:rPr>
        <w:t> </w:t>
      </w:r>
    </w:p>
    <w:p>
      <w:pPr>
        <w:pStyle w:val="6"/>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b w:val="0"/>
          <w:bCs w:val="0"/>
          <w:i w:val="0"/>
          <w:iCs w:val="0"/>
          <w:caps w:val="0"/>
          <w:color w:val="393939"/>
          <w:spacing w:val="0"/>
          <w:sz w:val="27"/>
          <w:szCs w:val="27"/>
        </w:rPr>
      </w:pPr>
      <w:r>
        <w:rPr>
          <w:rStyle w:val="9"/>
          <w:rFonts w:hint="eastAsia" w:ascii="宋体" w:hAnsi="宋体" w:eastAsia="宋体" w:cs="宋体"/>
          <w:b/>
          <w:bCs/>
          <w:i w:val="0"/>
          <w:iCs w:val="0"/>
          <w:caps w:val="0"/>
          <w:color w:val="393939"/>
          <w:spacing w:val="0"/>
          <w:sz w:val="28"/>
          <w:szCs w:val="28"/>
          <w:shd w:val="clear" w:fill="FFFFFF"/>
        </w:rPr>
        <w:t>2021年08月</w:t>
      </w:r>
    </w:p>
    <w:p>
      <w:pPr>
        <w:pStyle w:val="6"/>
        <w:keepNext w:val="0"/>
        <w:keepLines w:val="0"/>
        <w:widowControl/>
        <w:suppressLineNumbers w:val="0"/>
        <w:spacing w:before="75" w:beforeAutospacing="0" w:after="75" w:afterAutospacing="0"/>
        <w:ind w:left="0" w:right="0" w:firstLine="0"/>
        <w:jc w:val="center"/>
        <w:rPr>
          <w:rStyle w:val="9"/>
          <w:rFonts w:hint="eastAsia" w:ascii="宋体" w:hAnsi="宋体" w:eastAsia="宋体" w:cs="宋体"/>
          <w:b/>
          <w:bCs/>
          <w:spacing w:val="0"/>
          <w:sz w:val="31"/>
          <w:szCs w:val="31"/>
        </w:rPr>
        <w:sectPr>
          <w:pgSz w:w="11906" w:h="16838"/>
          <w:pgMar w:top="1440" w:right="1800" w:bottom="1440" w:left="1800" w:header="851" w:footer="992" w:gutter="0"/>
          <w:cols w:space="425" w:num="1"/>
          <w:docGrid w:type="lines" w:linePitch="312" w:charSpace="0"/>
        </w:sectPr>
      </w:pP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第一章</w:t>
      </w:r>
      <w:r>
        <w:rPr>
          <w:rStyle w:val="9"/>
          <w:b/>
          <w:bCs/>
          <w:spacing w:val="0"/>
          <w:sz w:val="31"/>
          <w:szCs w:val="31"/>
        </w:rPr>
        <w:t>   </w:t>
      </w:r>
      <w:r>
        <w:rPr>
          <w:rStyle w:val="9"/>
          <w:rFonts w:hint="eastAsia" w:ascii="宋体" w:hAnsi="宋体" w:eastAsia="宋体" w:cs="宋体"/>
          <w:b/>
          <w:bCs/>
          <w:spacing w:val="0"/>
          <w:sz w:val="31"/>
          <w:szCs w:val="31"/>
        </w:rPr>
        <w:t>投标邀请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rPr>
          <w:rFonts w:hint="eastAsia" w:ascii="宋体" w:hAnsi="宋体" w:eastAsia="宋体" w:cs="宋体"/>
          <w:spacing w:val="0"/>
          <w:sz w:val="24"/>
          <w:szCs w:val="24"/>
          <w:u w:val="single"/>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清源创新实验室引进人才周转房采购项目</w:t>
      </w:r>
      <w:r>
        <w:rPr>
          <w:rFonts w:hint="eastAsia" w:ascii="宋体" w:hAnsi="宋体" w:eastAsia="宋体" w:cs="宋体"/>
          <w:spacing w:val="0"/>
          <w:sz w:val="24"/>
          <w:szCs w:val="24"/>
        </w:rPr>
        <w:t>（以下简称：“本项目”）的政府采购活动，现邀请供应商参加投标。</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C-QYCX-GK-202108-B0355-MZZJ</w:t>
      </w:r>
      <w:r>
        <w:rPr>
          <w:rFonts w:hint="eastAsia" w:ascii="宋体" w:hAnsi="宋体" w:eastAsia="宋体" w:cs="宋体"/>
          <w:spacing w:val="0"/>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[350500]MZZJ[GK]2021001</w:t>
      </w:r>
      <w:r>
        <w:rPr>
          <w:rFonts w:hint="eastAsia" w:ascii="宋体" w:hAnsi="宋体" w:eastAsia="宋体" w:cs="宋体"/>
          <w:spacing w:val="0"/>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5、需要落实的政府采购政策：进口产品，无。节能产品和环境标志产品，无。信息安全产品，无。小型、微型企业，适用于（合同包1）。监狱企业，适用于（合同包1）。促进残疾人就业，适用于（合同包1）。信用记录，适用于（合同包1），按照下列规定执行：（1）投标人应在（招标公告发布之日起至投标截止时间止）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6、投标人的资格要求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6.1法定条件：符合政府采购法第二十二条第一款规定的条件。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9"/>
          <w:rFonts w:hint="eastAsia" w:ascii="宋体" w:hAnsi="宋体" w:eastAsia="宋体" w:cs="宋体"/>
          <w:b/>
          <w:bCs/>
          <w:spacing w:val="0"/>
          <w:sz w:val="24"/>
          <w:szCs w:val="24"/>
        </w:rPr>
        <w:t>包：1</w:t>
      </w:r>
    </w:p>
    <w:tbl>
      <w:tblPr>
        <w:tblStyle w:val="7"/>
        <w:tblW w:w="500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747"/>
        <w:gridCol w:w="55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明细</w:t>
            </w:r>
          </w:p>
        </w:tc>
        <w:tc>
          <w:tcPr>
            <w:tcW w:w="335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其他资格证明文件1</w:t>
            </w:r>
          </w:p>
        </w:tc>
        <w:tc>
          <w:tcPr>
            <w:tcW w:w="335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投标人应为房地产开发商，投标时应出具有效的房地产开发企业资质证书（含暂定）。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4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其他资格证明文件2</w:t>
            </w:r>
          </w:p>
        </w:tc>
        <w:tc>
          <w:tcPr>
            <w:tcW w:w="335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拟投房源手续应齐全、合法。投标时应同时附上国有土地使用证、建设用地规划许可证、建设工程规划许可证、商品房销售许可证和工程竣工验收备案表。</w:t>
            </w:r>
          </w:p>
        </w:tc>
      </w:tr>
    </w:tbl>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6.3是否接受联合体投标：不接受。</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Style w:val="9"/>
          <w:rFonts w:hint="eastAsia" w:ascii="宋体" w:hAnsi="宋体" w:eastAsia="宋体" w:cs="宋体"/>
          <w:b/>
          <w:bCs/>
          <w:spacing w:val="0"/>
          <w:sz w:val="24"/>
          <w:szCs w:val="24"/>
        </w:rPr>
        <w:t>※根据上述资格要求，投标文件中应提交的“投标人的资格及资信证明文件”详见招标文件第四章。</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7、报名</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7.1报名期限：详见招标公告或更正公告（若有），若不一致，以更正公告（若有）为准。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9"/>
          <w:rFonts w:hint="eastAsia" w:ascii="宋体" w:hAnsi="宋体" w:eastAsia="宋体" w:cs="宋体"/>
          <w:b/>
          <w:bCs/>
          <w:spacing w:val="0"/>
          <w:sz w:val="24"/>
          <w:szCs w:val="24"/>
        </w:rPr>
        <w:t>投标将被拒绝。</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8、招标文件的获取</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8.1招标文件提供期限：详见招标公告或更正公告（若有），若不一致，以更正公告（若有）为准。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8.2获取地点及方式：报名后，通过福建省政府采购网上公开信息系统以下载方式获取。</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9、投标截止</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9.1投标截止时间：详见招标公告或更正公告（若有），若不一致，以更正公告（若有）为准。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9"/>
          <w:rFonts w:hint="eastAsia" w:ascii="宋体" w:hAnsi="宋体" w:eastAsia="宋体" w:cs="宋体"/>
          <w:b/>
          <w:bCs/>
          <w:spacing w:val="0"/>
          <w:sz w:val="24"/>
          <w:szCs w:val="24"/>
        </w:rPr>
        <w:t>投标人的CA证书</w:t>
      </w:r>
      <w:r>
        <w:rPr>
          <w:rFonts w:hint="eastAsia" w:ascii="宋体" w:hAnsi="宋体" w:eastAsia="宋体" w:cs="宋体"/>
          <w:spacing w:val="0"/>
          <w:sz w:val="24"/>
          <w:szCs w:val="24"/>
        </w:rPr>
        <w:t>连同</w:t>
      </w:r>
      <w:r>
        <w:rPr>
          <w:rStyle w:val="9"/>
          <w:rFonts w:hint="eastAsia" w:ascii="宋体" w:hAnsi="宋体" w:eastAsia="宋体" w:cs="宋体"/>
          <w:b/>
          <w:bCs/>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9"/>
          <w:rFonts w:hint="eastAsia" w:ascii="宋体" w:hAnsi="宋体" w:eastAsia="宋体" w:cs="宋体"/>
          <w:b/>
          <w:bCs/>
          <w:spacing w:val="0"/>
          <w:sz w:val="24"/>
          <w:szCs w:val="24"/>
        </w:rPr>
        <w:t>投标将被拒绝。</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10、开标时间及地点：详见招标公告或更正公告（若有），若不一致，以更正公告（若有）为准。</w:t>
      </w:r>
      <w:r>
        <w:rPr>
          <w:rStyle w:val="9"/>
          <w:rFonts w:hint="eastAsia" w:ascii="宋体" w:hAnsi="宋体" w:eastAsia="宋体" w:cs="宋体"/>
          <w:b/>
          <w:bCs/>
          <w:spacing w:val="0"/>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11、公告期限</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12、采购人：清源创新实验室</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地址：泉州市泉港区前黄镇学院路1号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联系方法：0595-36160016</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13、代理机构：福建省闽咨造价咨询有限公司</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地址：福州市鼓楼区五四路158号环球广场B区13层</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2"/>
        <w:textAlignment w:val="auto"/>
      </w:pPr>
      <w:r>
        <w:rPr>
          <w:rFonts w:hint="eastAsia" w:ascii="宋体" w:hAnsi="宋体" w:eastAsia="宋体" w:cs="宋体"/>
          <w:spacing w:val="0"/>
          <w:sz w:val="24"/>
          <w:szCs w:val="24"/>
        </w:rPr>
        <w:t>联系方法：0595-22201222、0591-87677863-803</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Style w:val="7"/>
        <w:tblW w:w="87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7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8" w:hRule="atLeast"/>
        </w:trPr>
        <w:tc>
          <w:tcPr>
            <w:tcW w:w="87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sz w:val="21"/>
                <w:szCs w:val="21"/>
              </w:rPr>
            </w:pPr>
            <w:r>
              <w:rPr>
                <w:rStyle w:val="9"/>
                <w:rFonts w:hint="eastAsia" w:ascii="宋体" w:hAnsi="宋体" w:eastAsia="宋体" w:cs="宋体"/>
                <w:b/>
                <w:bCs/>
                <w:spacing w:val="0"/>
                <w:sz w:val="21"/>
                <w:szCs w:val="21"/>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8" w:hRule="atLeast"/>
        </w:trPr>
        <w:tc>
          <w:tcPr>
            <w:tcW w:w="8740" w:type="dxa"/>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sz w:val="21"/>
                <w:szCs w:val="21"/>
              </w:rPr>
            </w:pPr>
            <w:r>
              <w:rPr>
                <w:rFonts w:hint="eastAsia" w:ascii="宋体" w:hAnsi="宋体" w:eastAsia="宋体" w:cs="宋体"/>
                <w:spacing w:val="0"/>
                <w:sz w:val="21"/>
                <w:szCs w:val="21"/>
              </w:rPr>
              <w:t>开户名称：</w:t>
            </w:r>
            <w:r>
              <w:rPr>
                <w:rFonts w:hint="eastAsia" w:ascii="宋体" w:hAnsi="宋体" w:eastAsia="宋体" w:cs="宋体"/>
                <w:spacing w:val="0"/>
                <w:sz w:val="21"/>
                <w:szCs w:val="21"/>
                <w:u w:val="single"/>
                <w:shd w:val="clear" w:fill="FFFFFF"/>
              </w:rPr>
              <w:t>福建省闽咨造价咨询有限公司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95" w:hRule="atLeast"/>
        </w:trPr>
        <w:tc>
          <w:tcPr>
            <w:tcW w:w="8740" w:type="dxa"/>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sz w:val="21"/>
                <w:szCs w:val="21"/>
              </w:rPr>
            </w:pPr>
            <w:r>
              <w:rPr>
                <w:rFonts w:hint="eastAsia" w:ascii="宋体" w:hAnsi="宋体" w:eastAsia="宋体" w:cs="宋体"/>
                <w:spacing w:val="0"/>
                <w:sz w:val="21"/>
                <w:szCs w:val="21"/>
              </w:rPr>
              <w:t>开户银行：</w:t>
            </w:r>
            <w:r>
              <w:rPr>
                <w:rFonts w:hint="eastAsia" w:ascii="宋体" w:hAnsi="宋体" w:eastAsia="宋体" w:cs="宋体"/>
                <w:spacing w:val="0"/>
                <w:sz w:val="21"/>
                <w:szCs w:val="21"/>
                <w:u w:val="none"/>
              </w:rPr>
              <w:t>供应商在福建省政府采购网上公开信息系统报名后，根据其提示自行选择要缴交的投标保证金托管银行</w:t>
            </w:r>
            <w:r>
              <w:rPr>
                <w:rFonts w:hint="eastAsia" w:ascii="宋体" w:hAnsi="宋体" w:eastAsia="宋体" w:cs="宋体"/>
                <w:spacing w:val="0"/>
                <w:sz w:val="21"/>
                <w:szCs w:val="21"/>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93" w:hRule="atLeast"/>
        </w:trPr>
        <w:tc>
          <w:tcPr>
            <w:tcW w:w="8740" w:type="dxa"/>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sz w:val="21"/>
                <w:szCs w:val="21"/>
              </w:rPr>
            </w:pPr>
            <w:r>
              <w:rPr>
                <w:rFonts w:hint="eastAsia" w:ascii="宋体" w:hAnsi="宋体" w:eastAsia="宋体" w:cs="宋体"/>
                <w:spacing w:val="0"/>
                <w:sz w:val="21"/>
                <w:szCs w:val="21"/>
              </w:rPr>
              <w:t>银行账号：</w:t>
            </w:r>
            <w:r>
              <w:rPr>
                <w:rFonts w:hint="eastAsia" w:ascii="宋体" w:hAnsi="宋体" w:eastAsia="宋体" w:cs="宋体"/>
                <w:spacing w:val="0"/>
                <w:sz w:val="21"/>
                <w:szCs w:val="21"/>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8" w:hRule="atLeast"/>
        </w:trPr>
        <w:tc>
          <w:tcPr>
            <w:tcW w:w="87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sz w:val="21"/>
                <w:szCs w:val="21"/>
              </w:rPr>
            </w:pPr>
            <w:r>
              <w:rPr>
                <w:rStyle w:val="9"/>
                <w:rFonts w:hint="eastAsia" w:ascii="宋体" w:hAnsi="宋体" w:eastAsia="宋体" w:cs="宋体"/>
                <w:b/>
                <w:bCs/>
                <w:spacing w:val="0"/>
                <w:sz w:val="21"/>
                <w:szCs w:val="21"/>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0" w:hRule="atLeast"/>
        </w:trPr>
        <w:tc>
          <w:tcPr>
            <w:tcW w:w="8740" w:type="dxa"/>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sz w:val="21"/>
                <w:szCs w:val="21"/>
              </w:rPr>
            </w:pPr>
            <w:r>
              <w:rPr>
                <w:rFonts w:hint="eastAsia" w:ascii="宋体" w:hAnsi="宋体" w:eastAsia="宋体" w:cs="宋体"/>
                <w:spacing w:val="0"/>
                <w:sz w:val="21"/>
                <w:szCs w:val="21"/>
              </w:rPr>
              <w:t>1、投标人应认真核对账户信息，将投标保证金汇入以上账户，并自行承担因汇错投标保证金而产生的一切后果。</w:t>
            </w:r>
          </w:p>
          <w:p>
            <w:pPr>
              <w:pStyle w:val="6"/>
              <w:keepNext w:val="0"/>
              <w:keepLines w:val="0"/>
              <w:widowControl/>
              <w:suppressLineNumbers w:val="0"/>
              <w:spacing w:before="0" w:beforeAutospacing="0" w:after="0" w:afterAutospacing="0"/>
              <w:ind w:left="0" w:right="0"/>
              <w:rPr>
                <w:sz w:val="21"/>
                <w:szCs w:val="21"/>
              </w:rPr>
            </w:pPr>
            <w:r>
              <w:rPr>
                <w:rFonts w:hint="eastAsia" w:ascii="宋体" w:hAnsi="宋体" w:eastAsia="宋体" w:cs="宋体"/>
                <w:spacing w:val="0"/>
                <w:sz w:val="21"/>
                <w:szCs w:val="21"/>
              </w:rPr>
              <w:t>2、投标人在转账或电汇的凭证上应按照以下格式注明，以便核对：“（招标编号：</w:t>
            </w:r>
            <w:r>
              <w:rPr>
                <w:rFonts w:hint="default" w:ascii="Times New Roman" w:hAnsi="Times New Roman" w:cs="Times New Roman"/>
                <w:spacing w:val="0"/>
                <w:sz w:val="21"/>
                <w:szCs w:val="21"/>
              </w:rPr>
              <w:t>***</w:t>
            </w:r>
            <w:r>
              <w:rPr>
                <w:rFonts w:hint="eastAsia" w:ascii="宋体" w:hAnsi="宋体" w:eastAsia="宋体" w:cs="宋体"/>
                <w:spacing w:val="0"/>
                <w:sz w:val="21"/>
                <w:szCs w:val="21"/>
              </w:rPr>
              <w:t>、合同包：</w:t>
            </w:r>
            <w:r>
              <w:rPr>
                <w:rFonts w:hint="default" w:ascii="Times New Roman" w:hAnsi="Times New Roman" w:cs="Times New Roman"/>
                <w:spacing w:val="0"/>
                <w:sz w:val="21"/>
                <w:szCs w:val="21"/>
              </w:rPr>
              <w:t>***</w:t>
            </w:r>
            <w:r>
              <w:rPr>
                <w:rFonts w:hint="eastAsia" w:ascii="宋体" w:hAnsi="宋体" w:eastAsia="宋体" w:cs="宋体"/>
                <w:spacing w:val="0"/>
                <w:sz w:val="21"/>
                <w:szCs w:val="21"/>
              </w:rPr>
              <w:t>）的投标保证金”。</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7"/>
        <w:tblW w:w="500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7"/>
        <w:gridCol w:w="908"/>
        <w:gridCol w:w="1836"/>
        <w:gridCol w:w="910"/>
        <w:gridCol w:w="910"/>
        <w:gridCol w:w="978"/>
        <w:gridCol w:w="978"/>
        <w:gridCol w:w="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4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54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1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4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4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54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4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54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w:t>
            </w:r>
          </w:p>
        </w:tc>
        <w:tc>
          <w:tcPr>
            <w:tcW w:w="11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事业单位用房</w:t>
            </w:r>
          </w:p>
        </w:tc>
        <w:tc>
          <w:tcPr>
            <w:tcW w:w="54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否</w:t>
            </w:r>
          </w:p>
        </w:tc>
        <w:tc>
          <w:tcPr>
            <w:tcW w:w="54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1批</w:t>
            </w:r>
          </w:p>
        </w:tc>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15000000</w:t>
            </w:r>
          </w:p>
        </w:tc>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15000000</w:t>
            </w:r>
          </w:p>
        </w:tc>
        <w:tc>
          <w:tcPr>
            <w:tcW w:w="54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0</w:t>
            </w:r>
          </w:p>
        </w:tc>
      </w:tr>
    </w:tbl>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第二章</w:t>
      </w:r>
      <w:r>
        <w:rPr>
          <w:rStyle w:val="9"/>
          <w:b/>
          <w:bCs/>
          <w:spacing w:val="0"/>
          <w:sz w:val="31"/>
          <w:szCs w:val="31"/>
        </w:rPr>
        <w:t>   </w:t>
      </w:r>
      <w:r>
        <w:rPr>
          <w:rStyle w:val="9"/>
          <w:rFonts w:hint="eastAsia" w:ascii="宋体" w:hAnsi="宋体" w:eastAsia="宋体" w:cs="宋体"/>
          <w:b/>
          <w:bCs/>
          <w:spacing w:val="0"/>
          <w:sz w:val="31"/>
          <w:szCs w:val="31"/>
        </w:rPr>
        <w:t>投标人须知前附表（表1、</w:t>
      </w:r>
      <w:r>
        <w:rPr>
          <w:rStyle w:val="9"/>
          <w:rFonts w:hint="default" w:ascii="Times New Roman" w:hAnsi="Times New Roman" w:cs="Times New Roman"/>
          <w:b/>
          <w:bCs/>
          <w:spacing w:val="0"/>
          <w:sz w:val="31"/>
          <w:szCs w:val="31"/>
        </w:rPr>
        <w:t>2</w:t>
      </w:r>
      <w:r>
        <w:rPr>
          <w:rStyle w:val="9"/>
          <w:rFonts w:hint="eastAsia" w:ascii="宋体" w:hAnsi="宋体" w:eastAsia="宋体" w:cs="宋体"/>
          <w:b/>
          <w:bCs/>
          <w:spacing w:val="0"/>
          <w:sz w:val="31"/>
          <w:szCs w:val="31"/>
        </w:rPr>
        <w:t>）</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w:t>
      </w:r>
      <w:r>
        <w:rPr>
          <w:spacing w:val="0"/>
          <w:sz w:val="24"/>
          <w:szCs w:val="24"/>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96"/>
        <w:gridCol w:w="1471"/>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710" w:type="dxa"/>
            <w:gridSpan w:val="3"/>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b/>
                <w:bCs/>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投标文件的份数：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（1）纸质投标文件：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允许散装或活页装订的内容或材料：</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是否允许中标人将本项目的非主体、非关键性工作进行分包：</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投标有效期</w:t>
            </w:r>
            <w:r>
              <w:rPr>
                <w:rFonts w:hint="eastAsia" w:ascii="宋体" w:hAnsi="宋体" w:eastAsia="宋体" w:cs="宋体"/>
                <w:spacing w:val="0"/>
                <w:sz w:val="24"/>
                <w:szCs w:val="24"/>
              </w:rPr>
              <w:t>：投标截止时间起180个日历日。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密封及其标记的具体形式：</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9"/>
                <w:rFonts w:hint="eastAsia" w:ascii="宋体" w:hAnsi="宋体" w:eastAsia="宋体" w:cs="宋体"/>
                <w:b/>
                <w:bCs/>
                <w:spacing w:val="0"/>
                <w:sz w:val="24"/>
                <w:szCs w:val="24"/>
              </w:rPr>
              <w:t>投标将被拒绝。</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不承担责任。</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8</w:t>
            </w:r>
          </w:p>
        </w:tc>
        <w:tc>
          <w:tcPr>
            <w:tcW w:w="1590"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8640"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9"/>
                <w:rFonts w:hint="eastAsia" w:ascii="宋体" w:hAnsi="宋体" w:eastAsia="宋体" w:cs="宋体"/>
                <w:b/>
                <w:bCs/>
                <w:spacing w:val="0"/>
                <w:sz w:val="24"/>
                <w:szCs w:val="24"/>
              </w:rPr>
              <w:t>本项目中标人的确定（以合同包为单位）：</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当出现二个或二个以上投标人的综合得分相等时，以技术部分得分高的的优先；上述均相同的，以商务部分得分高的优先；如果综合得分、技术部分得分、商务部分得分均相同，则由采购人随机抽取确定，先抽取到的投标人排序在前。此条款与其他条款有矛盾，以此条款为准。</w:t>
            </w:r>
            <w:r>
              <w:rPr>
                <w:rFonts w:hint="eastAsia" w:ascii="宋体" w:hAnsi="宋体" w:eastAsia="宋体" w:cs="宋体"/>
                <w:spacing w:val="0"/>
                <w:sz w:val="24"/>
                <w:szCs w:val="24"/>
              </w:rPr>
              <w:t>。</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6"/>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6"/>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招标文件的质疑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※除上述规定外，对招标文件提出的质疑还应符合招标文件第三章第</w:t>
            </w:r>
            <w:r>
              <w:rPr>
                <w:rStyle w:val="9"/>
                <w:rFonts w:hint="default" w:ascii="Times New Roman" w:hAnsi="Times New Roman" w:cs="Times New Roman"/>
                <w:b/>
                <w:bCs/>
                <w:spacing w:val="0"/>
                <w:sz w:val="24"/>
                <w:szCs w:val="24"/>
              </w:rPr>
              <w:t>15.1</w:t>
            </w:r>
            <w:r>
              <w:rPr>
                <w:rStyle w:val="9"/>
                <w:rFonts w:hint="eastAsia" w:ascii="宋体" w:hAnsi="宋体" w:eastAsia="宋体" w:cs="宋体"/>
                <w:b/>
                <w:bCs/>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监督管理部门：</w:t>
            </w:r>
            <w:r>
              <w:rPr>
                <w:rFonts w:hint="eastAsia" w:ascii="宋体" w:hAnsi="宋体" w:eastAsia="宋体" w:cs="宋体"/>
                <w:spacing w:val="0"/>
                <w:sz w:val="24"/>
                <w:szCs w:val="24"/>
              </w:rPr>
              <w:t>泉州市财政局</w:t>
            </w:r>
            <w:r>
              <w:rPr>
                <w:rStyle w:val="9"/>
                <w:rFonts w:hint="eastAsia" w:ascii="宋体" w:hAnsi="宋体" w:eastAsia="宋体" w:cs="宋体"/>
                <w:b/>
                <w:bCs/>
                <w:color w:val="337AB7"/>
                <w:spacing w:val="0"/>
                <w:sz w:val="24"/>
                <w:szCs w:val="24"/>
                <w:u w:val="none"/>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财政部和福建省财政厅指定的政府采购信息发布媒体（以下简称：“指定媒体”）：</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※除招标文件第一章第</w:t>
            </w:r>
            <w:r>
              <w:rPr>
                <w:rStyle w:val="9"/>
                <w:rFonts w:hint="default" w:ascii="Times New Roman" w:hAnsi="Times New Roman" w:cs="Times New Roman"/>
                <w:b/>
                <w:bCs/>
                <w:spacing w:val="0"/>
                <w:sz w:val="24"/>
                <w:szCs w:val="24"/>
              </w:rPr>
              <w:t>11.1</w:t>
            </w:r>
            <w:r>
              <w:rPr>
                <w:rStyle w:val="9"/>
                <w:rFonts w:hint="eastAsia" w:ascii="宋体" w:hAnsi="宋体" w:eastAsia="宋体" w:cs="宋体"/>
                <w:b/>
                <w:bCs/>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5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86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其他事项：</w:t>
            </w:r>
          </w:p>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中标供应商</w:t>
            </w:r>
            <w:r>
              <w:rPr>
                <w:rStyle w:val="9"/>
                <w:rFonts w:hint="eastAsia" w:ascii="宋体" w:hAnsi="宋体" w:eastAsia="宋体" w:cs="宋体"/>
                <w:b/>
                <w:bCs/>
                <w:spacing w:val="0"/>
                <w:sz w:val="24"/>
                <w:szCs w:val="24"/>
              </w:rPr>
              <w:t>支付。</w:t>
            </w:r>
            <w:r>
              <w:rPr>
                <w:rStyle w:val="9"/>
                <w:rFonts w:hint="eastAsia" w:ascii="宋体" w:hAnsi="宋体" w:eastAsia="宋体" w:cs="宋体"/>
                <w:b/>
                <w:bCs/>
                <w:spacing w:val="0"/>
                <w:sz w:val="24"/>
                <w:szCs w:val="24"/>
              </w:rPr>
              <w:br w:type="textWrapping"/>
            </w:r>
            <w:r>
              <w:rPr>
                <w:rStyle w:val="9"/>
                <w:rFonts w:hint="eastAsia" w:ascii="宋体" w:hAnsi="宋体" w:eastAsia="宋体" w:cs="宋体"/>
                <w:b/>
                <w:bCs/>
                <w:spacing w:val="0"/>
                <w:sz w:val="24"/>
                <w:szCs w:val="24"/>
              </w:rPr>
              <w:t>(2)其他：</w:t>
            </w:r>
            <w:r>
              <w:rPr>
                <w:rFonts w:hint="eastAsia" w:ascii="宋体" w:hAnsi="宋体" w:eastAsia="宋体" w:cs="宋体"/>
                <w:b/>
                <w:bCs/>
                <w:spacing w:val="0"/>
                <w:sz w:val="24"/>
                <w:szCs w:val="24"/>
              </w:rPr>
              <w:t>①中标服务费由中标人支付，以中标金额为基数，差额定率累进法计取，按计算结果的60%向代理机构交纳中标服务费。标准如下：100万元以下按1.5%计取；100万-500万按1.1%计取；500万-1000万按0.8%计取；1000万-5000万按0.5%计取。中标人须在领取中标通知书前向招标代理机构缴纳招标代理服务费。招标代理服务费收取方式：可用银行转账、电汇、现金等付款方式一次性缴清。②采购代理服务费开户行：交通银行股份有限公司泉州分行 开户名：福建省闽咨造价咨询有限公司泉州分公司 帐 号：355000888018010018184 。③提出质疑的投标人应当是参与所质疑项目采购活动的投标人。潜在投标人已依法获取其可质疑的招标文件的，可以对该文件提出质疑。投标人应当在法定质疑期内一次性提出针对同一采购程序环节的质疑；否则第二次提出的质疑将不予接受。④本项目预算金额即最高限价，投标人报价超过每平方米平均最高限价和本项目最高限价均视为无效报价，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070" w:type="dxa"/>
            <w:gridSpan w:val="2"/>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8640"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9"/>
                <w:rFonts w:hint="eastAsia" w:ascii="宋体" w:hAnsi="宋体" w:eastAsia="宋体" w:cs="宋体"/>
                <w:b/>
                <w:bCs/>
                <w:spacing w:val="0"/>
                <w:sz w:val="24"/>
                <w:szCs w:val="24"/>
              </w:rPr>
              <w:t>后有表</w:t>
            </w:r>
            <w:r>
              <w:rPr>
                <w:rStyle w:val="9"/>
                <w:rFonts w:hint="default" w:ascii="Times New Roman" w:hAnsi="Times New Roman" w:cs="Times New Roman"/>
                <w:b/>
                <w:bCs/>
                <w:spacing w:val="0"/>
                <w:sz w:val="24"/>
                <w:szCs w:val="24"/>
              </w:rPr>
              <w:t>2</w:t>
            </w:r>
            <w:r>
              <w:rPr>
                <w:rStyle w:val="9"/>
                <w:rFonts w:hint="eastAsia" w:ascii="宋体" w:hAnsi="宋体" w:eastAsia="宋体" w:cs="宋体"/>
                <w:b/>
                <w:bCs/>
                <w:spacing w:val="0"/>
                <w:sz w:val="24"/>
                <w:szCs w:val="24"/>
              </w:rPr>
              <w:t>，请勿遗漏。</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72"/>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1115" w:type="dxa"/>
            <w:gridSpan w:val="2"/>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b/>
                <w:bCs/>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63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63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9"/>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（3）将下列内容</w:t>
            </w:r>
            <w:r>
              <w:rPr>
                <w:rStyle w:val="9"/>
                <w:rFonts w:hint="eastAsia" w:ascii="宋体" w:hAnsi="宋体" w:eastAsia="宋体" w:cs="宋体"/>
                <w:b/>
                <w:bCs/>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②关于投标文件：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9"/>
                <w:rFonts w:hint="eastAsia" w:ascii="宋体" w:hAnsi="宋体" w:eastAsia="宋体" w:cs="宋体"/>
                <w:b/>
                <w:bCs/>
                <w:spacing w:val="0"/>
                <w:sz w:val="24"/>
                <w:szCs w:val="24"/>
              </w:rPr>
              <w:t>资格审查小组、评标委员会将按照不利于投标人的内容进行认定。</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9"/>
                <w:rFonts w:hint="eastAsia" w:ascii="宋体" w:hAnsi="宋体" w:eastAsia="宋体" w:cs="宋体"/>
                <w:b/>
                <w:bCs/>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a.除《检察机关行贿犯罪档案查询结果告知函》外，招标文件要求原件的，投标人在电子投标文件中可提供复印件（含扫描件），但在纸质投标文件正本中应提供原件</w:t>
            </w:r>
            <w:r>
              <w:rPr>
                <w:rStyle w:val="9"/>
                <w:rFonts w:hint="eastAsia" w:ascii="宋体" w:hAnsi="宋体" w:eastAsia="宋体" w:cs="宋体"/>
                <w:b/>
                <w:bCs/>
                <w:sz w:val="24"/>
                <w:szCs w:val="24"/>
              </w:rPr>
              <w:t>（资格审查小组、评标委员会将核对纸质投标文件正本，未提供原件的证明材料或资料将导致投标无效）</w:t>
            </w:r>
            <w:r>
              <w:rPr>
                <w:rFonts w:hint="eastAsia" w:ascii="宋体" w:hAnsi="宋体" w:eastAsia="宋体" w:cs="宋体"/>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b.除《检察机关行贿犯罪档案查询结果告知函》外，若投标人提供注明“复印件无效”的证明材料或资料，其纸质投标文件正本中应提供原件</w:t>
            </w:r>
            <w:r>
              <w:rPr>
                <w:rStyle w:val="9"/>
                <w:rFonts w:hint="eastAsia" w:ascii="宋体" w:hAnsi="宋体" w:eastAsia="宋体" w:cs="宋体"/>
                <w:b/>
                <w:bCs/>
                <w:sz w:val="24"/>
                <w:szCs w:val="24"/>
              </w:rPr>
              <w:t>（资格审查小组、评标委员会将核对纸质投标文件正本，未提供原件的证明材料或资料将导致投标无效）。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c.《检察机关行贿犯罪档案查询结果告知函》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c2《检察机关行贿犯罪档案查询结果告知函》应在有效期内且内容完整、清晰、整洁，否则</w:t>
            </w:r>
            <w:r>
              <w:rPr>
                <w:rStyle w:val="9"/>
                <w:rFonts w:hint="eastAsia" w:ascii="宋体" w:hAnsi="宋体" w:eastAsia="宋体" w:cs="宋体"/>
                <w:b/>
                <w:bCs/>
                <w:sz w:val="24"/>
                <w:szCs w:val="24"/>
              </w:rPr>
              <w:t>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c3有效期内的《检察机关行贿犯罪档案查询结果告知函》复印件（含扫描件）及符合招标文件第七章规定的打印件（或截图），无论内容中是否注明“复印件无效”，</w:t>
            </w:r>
            <w:r>
              <w:rPr>
                <w:rStyle w:val="9"/>
                <w:rFonts w:hint="eastAsia" w:ascii="宋体" w:hAnsi="宋体" w:eastAsia="宋体" w:cs="宋体"/>
                <w:b/>
                <w:bCs/>
                <w:sz w:val="24"/>
                <w:szCs w:val="24"/>
              </w:rPr>
              <w:t>均视同有效。</w:t>
            </w:r>
          </w:p>
          <w:p>
            <w:pPr>
              <w:pStyle w:val="6"/>
              <w:keepNext w:val="0"/>
              <w:keepLines w:val="0"/>
              <w:widowControl/>
              <w:suppressLineNumbers w:val="0"/>
              <w:spacing w:before="0" w:beforeAutospacing="0" w:after="0" w:afterAutospacing="0"/>
              <w:ind w:left="0" w:right="0"/>
            </w:pP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9"/>
                <w:rFonts w:hint="eastAsia" w:ascii="宋体" w:hAnsi="宋体" w:eastAsia="宋体" w:cs="宋体"/>
                <w:b/>
                <w:bCs/>
                <w:spacing w:val="0"/>
                <w:sz w:val="24"/>
                <w:szCs w:val="24"/>
              </w:rPr>
              <w:t>投标无效。</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9"/>
                <w:rFonts w:hint="eastAsia" w:ascii="宋体" w:hAnsi="宋体" w:eastAsia="宋体" w:cs="宋体"/>
                <w:b/>
                <w:bCs/>
                <w:spacing w:val="0"/>
                <w:sz w:val="24"/>
                <w:szCs w:val="24"/>
              </w:rPr>
              <w:t>不视为投标无效。</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9"/>
                <w:rFonts w:hint="eastAsia" w:ascii="宋体" w:hAnsi="宋体" w:eastAsia="宋体" w:cs="宋体"/>
                <w:b/>
                <w:bCs/>
                <w:spacing w:val="0"/>
                <w:sz w:val="24"/>
                <w:szCs w:val="24"/>
              </w:rPr>
              <w:t>投标将被拒绝。</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9"/>
                <w:rFonts w:hint="eastAsia" w:ascii="宋体" w:hAnsi="宋体" w:eastAsia="宋体" w:cs="宋体"/>
                <w:b/>
                <w:bCs/>
                <w:spacing w:val="0"/>
                <w:sz w:val="24"/>
                <w:szCs w:val="24"/>
              </w:rPr>
              <w:t>投标将被拒绝。</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b.有下列情形之一的，其</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,其保证金不予退还：</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b4不同投标人被福建省政府采购网上公开信息系统判定为串通投标的其他情形。</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rPr>
          <w:rStyle w:val="9"/>
          <w:rFonts w:hint="eastAsia" w:ascii="宋体" w:hAnsi="宋体" w:eastAsia="宋体" w:cs="宋体"/>
          <w:b/>
          <w:bCs/>
          <w:spacing w:val="0"/>
          <w:sz w:val="31"/>
          <w:szCs w:val="31"/>
        </w:rPr>
      </w:pPr>
      <w:r>
        <w:rPr>
          <w:rStyle w:val="9"/>
          <w:rFonts w:hint="eastAsia" w:ascii="宋体" w:hAnsi="宋体" w:eastAsia="宋体" w:cs="宋体"/>
          <w:b/>
          <w:bCs/>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第三章   投标人须知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一、总则</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二、投标人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三、招标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福建省闽咨造价咨询有限公司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9"/>
          <w:rFonts w:hint="eastAsia" w:ascii="宋体" w:hAnsi="宋体" w:eastAsia="宋体" w:cs="宋体"/>
          <w:b/>
          <w:bCs/>
          <w:spacing w:val="0"/>
          <w:sz w:val="24"/>
          <w:szCs w:val="24"/>
        </w:rPr>
        <w:t>作为招标文件组成部分</w:t>
      </w:r>
      <w:r>
        <w:rPr>
          <w:rFonts w:hint="eastAsia" w:ascii="宋体" w:hAnsi="宋体" w:eastAsia="宋体" w:cs="宋体"/>
          <w:spacing w:val="0"/>
          <w:sz w:val="24"/>
          <w:szCs w:val="24"/>
        </w:rPr>
        <w:t>，对投标人具有约束力。</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福建省闽咨造价咨询有限公司可终止招标并发布终止公告。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8.2终止公告作为福建省闽咨造价咨询有限公司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四、投标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9"/>
          <w:rFonts w:hint="eastAsia" w:ascii="宋体" w:hAnsi="宋体" w:eastAsia="宋体" w:cs="宋体"/>
          <w:b/>
          <w:bCs/>
          <w:spacing w:val="0"/>
          <w:sz w:val="24"/>
          <w:szCs w:val="24"/>
        </w:rPr>
        <w:t>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※除本章第</w:t>
      </w:r>
      <w:r>
        <w:rPr>
          <w:rStyle w:val="9"/>
          <w:rFonts w:hint="default" w:ascii="Calibri" w:hAnsi="Calibri" w:cs="Calibri"/>
          <w:b/>
          <w:bCs/>
          <w:spacing w:val="0"/>
          <w:sz w:val="24"/>
          <w:szCs w:val="24"/>
        </w:rPr>
        <w:t>10.5</w:t>
      </w:r>
      <w:r>
        <w:rPr>
          <w:rStyle w:val="9"/>
          <w:rFonts w:hint="eastAsia" w:ascii="宋体" w:hAnsi="宋体" w:eastAsia="宋体" w:cs="宋体"/>
          <w:b/>
          <w:bCs/>
          <w:spacing w:val="0"/>
          <w:sz w:val="24"/>
          <w:szCs w:val="24"/>
        </w:rPr>
        <w:t>条第（</w:t>
      </w:r>
      <w:r>
        <w:rPr>
          <w:rStyle w:val="9"/>
          <w:rFonts w:hint="default" w:ascii="Calibri" w:hAnsi="Calibri" w:cs="Calibri"/>
          <w:b/>
          <w:bCs/>
          <w:spacing w:val="0"/>
          <w:sz w:val="24"/>
          <w:szCs w:val="24"/>
        </w:rPr>
        <w:t>2</w:t>
      </w:r>
      <w:r>
        <w:rPr>
          <w:rStyle w:val="9"/>
          <w:rFonts w:hint="eastAsia" w:ascii="宋体" w:hAnsi="宋体" w:eastAsia="宋体" w:cs="宋体"/>
          <w:b/>
          <w:bCs/>
          <w:spacing w:val="0"/>
          <w:sz w:val="24"/>
          <w:szCs w:val="24"/>
        </w:rPr>
        <w:t>）款第③点规定情形外，投标文件散装或活页装订将导致投标无效。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9"/>
          <w:rFonts w:hint="eastAsia" w:ascii="宋体" w:hAnsi="宋体" w:eastAsia="宋体" w:cs="宋体"/>
          <w:b/>
          <w:bCs/>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9"/>
          <w:rFonts w:hint="eastAsia" w:ascii="宋体" w:hAnsi="宋体" w:eastAsia="宋体" w:cs="宋体"/>
          <w:b/>
          <w:bCs/>
          <w:spacing w:val="0"/>
          <w:sz w:val="24"/>
          <w:szCs w:val="24"/>
        </w:rPr>
        <w:t>投标无效。</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9"/>
          <w:rFonts w:hint="eastAsia" w:ascii="宋体" w:hAnsi="宋体" w:eastAsia="宋体" w:cs="宋体"/>
          <w:b/>
          <w:bCs/>
          <w:spacing w:val="0"/>
          <w:sz w:val="24"/>
          <w:szCs w:val="24"/>
        </w:rPr>
        <w:t>（基本存款账户）</w:t>
      </w:r>
      <w:r>
        <w:rPr>
          <w:rFonts w:hint="eastAsia" w:ascii="宋体" w:hAnsi="宋体" w:eastAsia="宋体" w:cs="宋体"/>
          <w:spacing w:val="0"/>
          <w:sz w:val="24"/>
          <w:szCs w:val="24"/>
        </w:rPr>
        <w:t>按照下列方式：</w:t>
      </w:r>
      <w:r>
        <w:rPr>
          <w:rStyle w:val="9"/>
          <w:rFonts w:hint="eastAsia" w:ascii="宋体" w:hAnsi="宋体" w:eastAsia="宋体" w:cs="宋体"/>
          <w:b/>
          <w:bCs/>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9"/>
          <w:rFonts w:hint="eastAsia" w:ascii="宋体" w:hAnsi="宋体" w:eastAsia="宋体" w:cs="宋体"/>
          <w:b/>
          <w:bCs/>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※除招标文件另有规定外，未按照上述规定提交投标保证金将导致资格审查不合格。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收到投标人书面撤回通知之日起5个工作日内退回原账户。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9"/>
          <w:rFonts w:hint="eastAsia" w:ascii="宋体" w:hAnsi="宋体" w:eastAsia="宋体" w:cs="宋体"/>
          <w:b/>
          <w:bCs/>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※本章第</w:t>
      </w:r>
      <w:r>
        <w:rPr>
          <w:rStyle w:val="9"/>
          <w:rFonts w:hint="default" w:ascii="Calibri" w:hAnsi="Calibri" w:cs="Calibri"/>
          <w:b/>
          <w:bCs/>
          <w:spacing w:val="0"/>
          <w:sz w:val="24"/>
          <w:szCs w:val="24"/>
        </w:rPr>
        <w:t>10.9</w:t>
      </w:r>
      <w:r>
        <w:rPr>
          <w:rStyle w:val="9"/>
          <w:rFonts w:hint="eastAsia" w:ascii="宋体" w:hAnsi="宋体" w:eastAsia="宋体" w:cs="宋体"/>
          <w:b/>
          <w:bCs/>
          <w:spacing w:val="0"/>
          <w:sz w:val="24"/>
          <w:szCs w:val="24"/>
        </w:rPr>
        <w:t>条第（</w:t>
      </w:r>
      <w:r>
        <w:rPr>
          <w:rStyle w:val="9"/>
          <w:rFonts w:hint="default" w:ascii="Calibri" w:hAnsi="Calibri" w:cs="Calibri"/>
          <w:b/>
          <w:bCs/>
          <w:spacing w:val="0"/>
          <w:sz w:val="24"/>
          <w:szCs w:val="24"/>
        </w:rPr>
        <w:t>4</w:t>
      </w:r>
      <w:r>
        <w:rPr>
          <w:rStyle w:val="9"/>
          <w:rFonts w:hint="eastAsia" w:ascii="宋体" w:hAnsi="宋体" w:eastAsia="宋体" w:cs="宋体"/>
          <w:b/>
          <w:bCs/>
          <w:spacing w:val="0"/>
          <w:sz w:val="24"/>
          <w:szCs w:val="24"/>
        </w:rPr>
        <w:t>）款第①、②、③点规定的投标保证金退还时限不包括因投标人自身原因导致无法及时退还而增加的时间。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6"/>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※若上述投标保证金不予退还情形给采购人（采购代理机构）造成损失，则投标人还要承担相应的赔偿责任。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9"/>
          <w:rFonts w:hint="eastAsia" w:ascii="宋体" w:hAnsi="宋体" w:eastAsia="宋体" w:cs="宋体"/>
          <w:b/>
          <w:bCs/>
          <w:spacing w:val="0"/>
          <w:sz w:val="24"/>
          <w:szCs w:val="24"/>
        </w:rPr>
        <w:t>否则将被拒收。</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※按照上述规定提交的补充、修改内容作为投标文件组成部分。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五、开标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将在招标文件载明的开标时间及地点主持召开开标会，并邀请投标人参加。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派出，现场监督人员（若有）可由有关方面派出。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※若出现本章第</w:t>
      </w:r>
      <w:r>
        <w:rPr>
          <w:rStyle w:val="9"/>
          <w:rFonts w:hint="default" w:ascii="Calibri" w:hAnsi="Calibri" w:cs="Calibri"/>
          <w:b/>
          <w:bCs/>
          <w:spacing w:val="0"/>
          <w:sz w:val="24"/>
          <w:szCs w:val="24"/>
        </w:rPr>
        <w:t>11.4</w:t>
      </w:r>
      <w:r>
        <w:rPr>
          <w:rStyle w:val="9"/>
          <w:rFonts w:hint="eastAsia" w:ascii="宋体" w:hAnsi="宋体" w:eastAsia="宋体" w:cs="宋体"/>
          <w:b/>
          <w:bCs/>
          <w:spacing w:val="0"/>
          <w:sz w:val="24"/>
          <w:szCs w:val="24"/>
        </w:rPr>
        <w:t>条第（</w:t>
      </w:r>
      <w:r>
        <w:rPr>
          <w:rStyle w:val="9"/>
          <w:rFonts w:hint="default" w:ascii="Calibri" w:hAnsi="Calibri" w:cs="Calibri"/>
          <w:b/>
          <w:bCs/>
          <w:spacing w:val="0"/>
          <w:sz w:val="24"/>
          <w:szCs w:val="24"/>
        </w:rPr>
        <w:t>4</w:t>
      </w:r>
      <w:r>
        <w:rPr>
          <w:rStyle w:val="9"/>
          <w:rFonts w:hint="eastAsia" w:ascii="宋体" w:hAnsi="宋体" w:eastAsia="宋体" w:cs="宋体"/>
          <w:b/>
          <w:bCs/>
          <w:spacing w:val="0"/>
          <w:sz w:val="24"/>
          <w:szCs w:val="24"/>
        </w:rPr>
        <w:t>）、（</w:t>
      </w:r>
      <w:r>
        <w:rPr>
          <w:rStyle w:val="9"/>
          <w:rFonts w:hint="default" w:ascii="Calibri" w:hAnsi="Calibri" w:cs="Calibri"/>
          <w:b/>
          <w:bCs/>
          <w:spacing w:val="0"/>
          <w:sz w:val="24"/>
          <w:szCs w:val="24"/>
        </w:rPr>
        <w:t>5</w:t>
      </w:r>
      <w:r>
        <w:rPr>
          <w:rStyle w:val="9"/>
          <w:rFonts w:hint="eastAsia" w:ascii="宋体" w:hAnsi="宋体" w:eastAsia="宋体" w:cs="宋体"/>
          <w:b/>
          <w:bCs/>
          <w:spacing w:val="0"/>
          <w:sz w:val="24"/>
          <w:szCs w:val="24"/>
        </w:rPr>
        <w:t>）、（</w:t>
      </w:r>
      <w:r>
        <w:rPr>
          <w:rStyle w:val="9"/>
          <w:rFonts w:hint="default" w:ascii="Calibri" w:hAnsi="Calibri" w:cs="Calibri"/>
          <w:b/>
          <w:bCs/>
          <w:spacing w:val="0"/>
          <w:sz w:val="24"/>
          <w:szCs w:val="24"/>
        </w:rPr>
        <w:t>6</w:t>
      </w:r>
      <w:r>
        <w:rPr>
          <w:rStyle w:val="9"/>
          <w:rFonts w:hint="eastAsia" w:ascii="宋体" w:hAnsi="宋体" w:eastAsia="宋体" w:cs="宋体"/>
          <w:b/>
          <w:bCs/>
          <w:spacing w:val="0"/>
          <w:sz w:val="24"/>
          <w:szCs w:val="24"/>
        </w:rPr>
        <w:t>）款规定情形之一</w:t>
      </w:r>
      <w:r>
        <w:rPr>
          <w:rFonts w:hint="eastAsia" w:ascii="宋体" w:hAnsi="宋体" w:eastAsia="宋体" w:cs="宋体"/>
          <w:spacing w:val="0"/>
          <w:sz w:val="24"/>
          <w:szCs w:val="24"/>
        </w:rPr>
        <w:t>，</w:t>
      </w:r>
      <w:r>
        <w:rPr>
          <w:rStyle w:val="9"/>
          <w:rFonts w:hint="eastAsia" w:ascii="宋体" w:hAnsi="宋体" w:eastAsia="宋体" w:cs="宋体"/>
          <w:b/>
          <w:bCs/>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福建省闽咨造价咨询有限公司</w:t>
      </w:r>
      <w:r>
        <w:rPr>
          <w:rStyle w:val="9"/>
          <w:rFonts w:hint="eastAsia" w:ascii="宋体" w:hAnsi="宋体" w:eastAsia="宋体" w:cs="宋体"/>
          <w:b/>
          <w:bCs/>
          <w:spacing w:val="0"/>
          <w:sz w:val="24"/>
          <w:szCs w:val="24"/>
        </w:rPr>
        <w:t>提出任何疑义或要求（包括质疑）。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六、中标与政府采购合同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将在招标文件载明的指定媒体以中标公告的形式发布中标结果。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通知除中标人外的其他投标人没有中标的书面形式。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将向中标人发出中标通知书。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七、询问、质疑与投诉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14.1潜在投标人或投标人对本次采购活动的有关事项若有疑问，可向福建省闽咨造价咨询有限公司提出询问，福建省闽咨造价咨询有限公司将按照政府采购法及实施条例的有关规定进行答复。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省闽咨造价咨询有限公司对其质疑作出的处理结果，如：暂停招标投标活动、修改招标文件、停止或纠正违法违规行为、中标结果无效、废标、重新招标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9"/>
          <w:rFonts w:hint="eastAsia" w:ascii="宋体" w:hAnsi="宋体" w:eastAsia="宋体" w:cs="宋体"/>
          <w:b/>
          <w:bCs/>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6"/>
        <w:keepNext w:val="0"/>
        <w:keepLines w:val="0"/>
        <w:widowControl/>
        <w:suppressLineNumbers w:val="0"/>
        <w:spacing w:before="0" w:beforeAutospacing="0" w:after="150" w:afterAutospacing="0"/>
        <w:ind w:left="0" w:right="0" w:firstLine="480"/>
      </w:pPr>
      <w:r>
        <w:rPr>
          <w:rStyle w:val="9"/>
          <w:rFonts w:hint="eastAsia" w:ascii="宋体" w:hAnsi="宋体" w:eastAsia="宋体" w:cs="宋体"/>
          <w:b/>
          <w:bCs/>
          <w:sz w:val="24"/>
          <w:szCs w:val="24"/>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八、政府采购政策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9"/>
          <w:rFonts w:hint="eastAsia" w:ascii="宋体" w:hAnsi="宋体" w:eastAsia="宋体" w:cs="宋体"/>
          <w:b/>
          <w:bCs/>
        </w:rPr>
        <w:t>“残疾人福利性单位”</w:t>
      </w:r>
      <w:r>
        <w:rPr>
          <w:rFonts w:hint="eastAsia" w:ascii="宋体" w:hAnsi="宋体" w:eastAsia="宋体" w:cs="宋体"/>
          <w:sz w:val="24"/>
          <w:szCs w:val="24"/>
        </w:rPr>
        <w:t>）亦可享受前述扶持政策。其中：</w:t>
      </w:r>
    </w:p>
    <w:p>
      <w:pPr>
        <w:pStyle w:val="6"/>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（1）中小企业指符合下列条件的中型、小型、微型企业：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②符合中小企业划分标准的个体工商户，在政府采购活动中视同中小企业。</w:t>
      </w:r>
    </w:p>
    <w:p>
      <w:pPr>
        <w:pStyle w:val="6"/>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②在工程采购项目中，工程由中小企业承建，即工程施工单位为中小企业；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6"/>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ind w:left="0" w:right="0" w:firstLine="480"/>
      </w:pPr>
      <w:r>
        <w:rPr>
          <w:rFonts w:hint="eastAsia" w:ascii="宋体" w:hAnsi="宋体" w:eastAsia="宋体" w:cs="宋体"/>
          <w:sz w:val="24"/>
          <w:szCs w:val="24"/>
        </w:rPr>
        <w:t>②监狱企业视同小型、微型企业。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（4）残疾人福利性单位指同时符合下列条件的单位：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②依法与安置的每位残疾人签订了一年以上（含一年）的劳动合同或服务协议；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九、本项目的有关信息</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十、其他事项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hd w:val="clear" w:fill="FFFFFF"/>
        <w:spacing w:before="75" w:beforeAutospacing="0" w:after="75" w:afterAutospacing="0" w:line="405" w:lineRule="atLeast"/>
        <w:ind w:left="0" w:right="0" w:firstLine="0"/>
        <w:rPr>
          <w:rFonts w:hint="eastAsia" w:ascii="微软雅黑" w:hAnsi="微软雅黑" w:eastAsia="微软雅黑" w:cs="微软雅黑"/>
          <w:b w:val="0"/>
          <w:bCs w:val="0"/>
          <w:i w:val="0"/>
          <w:iCs w:val="0"/>
          <w:caps w:val="0"/>
          <w:color w:val="393939"/>
          <w:spacing w:val="0"/>
          <w:sz w:val="27"/>
          <w:szCs w:val="27"/>
        </w:rPr>
      </w:pPr>
      <w:r>
        <w:rPr>
          <w:rFonts w:hint="eastAsia" w:ascii="微软雅黑" w:hAnsi="微软雅黑" w:eastAsia="微软雅黑" w:cs="微软雅黑"/>
          <w:b w:val="0"/>
          <w:bCs w:val="0"/>
          <w:i w:val="0"/>
          <w:iCs w:val="0"/>
          <w:caps w:val="0"/>
          <w:color w:val="393939"/>
          <w:spacing w:val="0"/>
          <w:sz w:val="24"/>
          <w:szCs w:val="24"/>
          <w:shd w:val="clear" w:fill="FFFFFF"/>
        </w:rPr>
        <w:t> </w:t>
      </w:r>
    </w:p>
    <w:p>
      <w:pPr>
        <w:pStyle w:val="6"/>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rPr>
          <w:rStyle w:val="9"/>
          <w:rFonts w:hint="eastAsia" w:ascii="宋体" w:hAnsi="宋体" w:eastAsia="宋体" w:cs="宋体"/>
          <w:b/>
          <w:bCs/>
          <w:spacing w:val="0"/>
          <w:sz w:val="31"/>
          <w:szCs w:val="31"/>
        </w:rPr>
      </w:pPr>
      <w:r>
        <w:rPr>
          <w:rStyle w:val="9"/>
          <w:rFonts w:hint="eastAsia" w:ascii="宋体" w:hAnsi="宋体" w:eastAsia="宋体" w:cs="宋体"/>
          <w:b/>
          <w:bCs/>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第四章   资格审查与评标</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一、资格审查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负责资格审查小组的组建及资格审查工作的组织。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的工作人员。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Style w:val="7"/>
        <w:tblW w:w="501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63"/>
        <w:gridCol w:w="62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明细</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单位负责人授权书（若有）</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营业执照等证明文件</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财务状况报告（财务报告、或资信证明、或投标担保函）</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依法缴纳税收证明材料</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依法缴纳社会保障资金证明材料</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具备履行合同所必需设备和专业技术能力的声明函（若有）</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参加采购活动前三年内在经营活动中没有重大违法记录书面声明</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信用记录查询结果</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中小企业声明函（专门面向中小企业或小型、微型企业适用，若有）</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联合体协议（若有）</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3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检察机关行贿犯罪档案查询结果告知函（若有）</w:t>
            </w:r>
          </w:p>
        </w:tc>
        <w:tc>
          <w:tcPr>
            <w:tcW w:w="376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p>
    <w:p>
      <w:pPr>
        <w:pStyle w:val="6"/>
        <w:keepNext w:val="0"/>
        <w:keepLines w:val="0"/>
        <w:widowControl/>
        <w:suppressLineNumbers w:val="0"/>
        <w:spacing w:before="75" w:beforeAutospacing="0" w:after="75" w:afterAutospacing="0"/>
        <w:ind w:left="0" w:right="0" w:firstLine="480"/>
      </w:pPr>
      <w:r>
        <w:rPr>
          <w:rStyle w:val="9"/>
          <w:b/>
          <w:bCs/>
          <w:spacing w:val="0"/>
          <w:sz w:val="24"/>
          <w:szCs w:val="24"/>
        </w:rPr>
        <w:t>包：1</w:t>
      </w:r>
    </w:p>
    <w:tbl>
      <w:tblPr>
        <w:tblStyle w:val="7"/>
        <w:tblW w:w="500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63"/>
        <w:gridCol w:w="62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23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明细</w:t>
            </w:r>
          </w:p>
        </w:tc>
        <w:tc>
          <w:tcPr>
            <w:tcW w:w="37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3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其他资格证明文件1</w:t>
            </w:r>
          </w:p>
        </w:tc>
        <w:tc>
          <w:tcPr>
            <w:tcW w:w="37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投标人应为房地产开发商，投标时应出具有效的房地产开发企业资质证书（含暂定）。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23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其他资格证明文件2</w:t>
            </w:r>
          </w:p>
        </w:tc>
        <w:tc>
          <w:tcPr>
            <w:tcW w:w="37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拟投房源手续应齐全、合法。投标时应同时附上国有土地使用证、建设用地规划许可证、建设工程规划许可证、商品房销售许可证和工程竣工验收备案表。</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9"/>
          <w:rFonts w:hint="eastAsia" w:ascii="宋体" w:hAnsi="宋体" w:eastAsia="宋体" w:cs="宋体"/>
          <w:b/>
          <w:bCs/>
          <w:spacing w:val="0"/>
          <w:sz w:val="24"/>
          <w:szCs w:val="24"/>
        </w:rPr>
        <w:t>资格审查不合格：</w:t>
      </w:r>
      <w:r>
        <w:rPr>
          <w:rStyle w:val="9"/>
          <w:rFonts w:hint="eastAsia" w:ascii="宋体" w:hAnsi="宋体" w:eastAsia="宋体" w:cs="宋体"/>
          <w:b/>
          <w:bCs/>
          <w:spacing w:val="0"/>
          <w:sz w:val="24"/>
          <w:szCs w:val="24"/>
        </w:rPr>
        <w:br w:type="textWrapping"/>
      </w:r>
      <w:r>
        <w:rPr>
          <w:rFonts w:hint="eastAsia" w:ascii="宋体" w:hAnsi="宋体" w:eastAsia="宋体" w:cs="宋体"/>
        </w:rPr>
        <w:t>  （1）一般情形：</w:t>
      </w:r>
    </w:p>
    <w:tbl>
      <w:tblPr>
        <w:tblStyle w:val="7"/>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p>
    <w:p>
      <w:pPr>
        <w:pStyle w:val="6"/>
        <w:keepNext w:val="0"/>
        <w:keepLines w:val="0"/>
        <w:widowControl/>
        <w:suppressLineNumbers w:val="0"/>
        <w:spacing w:before="0" w:beforeAutospacing="0" w:after="150" w:afterAutospacing="0"/>
        <w:ind w:left="0" w:right="0" w:firstLine="480"/>
      </w:pPr>
      <w:r>
        <w:rPr>
          <w:rStyle w:val="9"/>
          <w:b/>
          <w:bCs/>
        </w:rPr>
        <w:t>包：1</w:t>
      </w:r>
      <w:r>
        <w:t> </w:t>
      </w:r>
      <w:r>
        <w:br w:type="textWrapping"/>
      </w:r>
      <w:r>
        <w:rPr>
          <w:rStyle w:val="9"/>
          <w:b/>
          <w:bCs/>
          <w:sz w:val="24"/>
          <w:szCs w:val="24"/>
        </w:rPr>
        <w:t>         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二、评标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福建省闽咨造价咨询有限公司负责评标委员会的组建及评标工作的组织。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福建省闽咨造价咨询有限公司</w:t>
      </w:r>
      <w:r>
        <w:rPr>
          <w:rFonts w:hint="eastAsia" w:ascii="宋体" w:hAnsi="宋体" w:eastAsia="宋体" w:cs="宋体"/>
          <w:spacing w:val="0"/>
          <w:sz w:val="24"/>
          <w:szCs w:val="24"/>
        </w:rPr>
        <w:t>或投标人提供的要求保密的资料，不得摘记翻印和外传。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※对违反评标纪律的评委，将取消其评委资格，对评标工作造成严重损失者将予以通报批评乃至追究法律责任。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9"/>
          <w:rFonts w:hint="eastAsia" w:ascii="宋体" w:hAnsi="宋体" w:eastAsia="宋体" w:cs="宋体"/>
          <w:b/>
          <w:bCs/>
          <w:spacing w:val="0"/>
          <w:sz w:val="24"/>
          <w:szCs w:val="24"/>
        </w:rPr>
        <w:t>符合性审查不合格：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Style w:val="7"/>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投标文件对招标文件实质性要求的响应存在重大偏离或保留。</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p>
    <w:tbl>
      <w:tblPr>
        <w:tblStyle w:val="7"/>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出现招标文件第五章中带“★”项不满足的。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投标人技术部分的实际得分少于招标文件设定的技术部分总分50%的。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技术商务部分中出现报价部分的全部或部分的投标报价信息（或组成资料）。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出现招标文件中载明“投标无效”条款的规定。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投标人对招标文件第五章第三款“商务条件”响应不满足招标文件要求的。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属于招标文件规定的符合性审查不合格情形的。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7"/>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出现招标文件第五章中带“★”项不满足的。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投标人技术部分的实际得分少于招标文件设定的技术部分总分50%的。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技术部分中出现报价部分的全部或部分的投标报价信息（或组成资料）。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出现招标文件中载明“投标无效”条款的规定。</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7"/>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bCs/>
                <w:sz w:val="21"/>
                <w:szCs w:val="21"/>
              </w:rPr>
            </w:pPr>
            <w:r>
              <w:rPr>
                <w:rFonts w:ascii="宋体" w:hAnsi="宋体" w:eastAsia="宋体" w:cs="宋体"/>
                <w:b/>
                <w:bCs/>
                <w:kern w:val="0"/>
                <w:sz w:val="21"/>
                <w:szCs w:val="21"/>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商务部分中出现报价部分的全部或部分的投标报价信息（或组成资料）。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投标人对招标文件第五章第三款“商务条件”响应不满足招标文件要求的。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属于招标文件规定的符合性审查不合格情形的。</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9"/>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Style w:val="9"/>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※同时出现两种以上不一致的，按照前款规定的顺序修正。修正后的报价应按照本章第</w:t>
      </w:r>
      <w:r>
        <w:rPr>
          <w:rStyle w:val="9"/>
          <w:rFonts w:hint="default" w:ascii="Calibri" w:hAnsi="Calibri" w:cs="Calibri"/>
          <w:b/>
          <w:bCs/>
          <w:spacing w:val="0"/>
          <w:sz w:val="24"/>
          <w:szCs w:val="24"/>
        </w:rPr>
        <w:t>6.3</w:t>
      </w:r>
      <w:r>
        <w:rPr>
          <w:rStyle w:val="9"/>
          <w:rFonts w:hint="eastAsia" w:ascii="宋体" w:hAnsi="宋体" w:eastAsia="宋体" w:cs="宋体"/>
          <w:b/>
          <w:bCs/>
          <w:spacing w:val="0"/>
          <w:sz w:val="24"/>
          <w:szCs w:val="24"/>
        </w:rPr>
        <w:t>条第（</w:t>
      </w:r>
      <w:r>
        <w:rPr>
          <w:rStyle w:val="9"/>
          <w:rFonts w:hint="default" w:ascii="Calibri" w:hAnsi="Calibri" w:cs="Calibri"/>
          <w:b/>
          <w:bCs/>
          <w:spacing w:val="0"/>
          <w:sz w:val="24"/>
          <w:szCs w:val="24"/>
        </w:rPr>
        <w:t>1</w:t>
      </w:r>
      <w:r>
        <w:rPr>
          <w:rStyle w:val="9"/>
          <w:rFonts w:hint="eastAsia" w:ascii="宋体" w:hAnsi="宋体" w:eastAsia="宋体" w:cs="宋体"/>
          <w:b/>
          <w:bCs/>
          <w:spacing w:val="0"/>
          <w:sz w:val="24"/>
          <w:szCs w:val="24"/>
        </w:rPr>
        <w:t>）、（</w:t>
      </w:r>
      <w:r>
        <w:rPr>
          <w:rStyle w:val="9"/>
          <w:rFonts w:hint="default" w:ascii="Calibri" w:hAnsi="Calibri" w:cs="Calibri"/>
          <w:b/>
          <w:bCs/>
          <w:spacing w:val="0"/>
          <w:sz w:val="24"/>
          <w:szCs w:val="24"/>
        </w:rPr>
        <w:t>2</w:t>
      </w:r>
      <w:r>
        <w:rPr>
          <w:rStyle w:val="9"/>
          <w:rFonts w:hint="eastAsia" w:ascii="宋体" w:hAnsi="宋体" w:eastAsia="宋体" w:cs="宋体"/>
          <w:b/>
          <w:bCs/>
          <w:spacing w:val="0"/>
          <w:sz w:val="24"/>
          <w:szCs w:val="24"/>
        </w:rPr>
        <w:t>）款规定经投标人确认后产生约束力，投标人不确认的，其投标无效。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9"/>
          <w:rFonts w:hint="eastAsia" w:ascii="宋体" w:hAnsi="宋体" w:eastAsia="宋体" w:cs="宋体"/>
          <w:b/>
          <w:bCs/>
          <w:spacing w:val="0"/>
          <w:sz w:val="24"/>
          <w:szCs w:val="24"/>
        </w:rPr>
        <w:t>（政府采购服务类项目不适用本条款规定）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9"/>
          <w:rFonts w:hint="eastAsia" w:ascii="宋体" w:hAnsi="宋体" w:eastAsia="宋体" w:cs="宋体"/>
          <w:b/>
          <w:bCs/>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处理。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9"/>
          <w:rFonts w:hint="eastAsia" w:ascii="宋体" w:hAnsi="宋体" w:eastAsia="宋体" w:cs="宋体"/>
          <w:b/>
          <w:bCs/>
          <w:spacing w:val="0"/>
          <w:sz w:val="24"/>
          <w:szCs w:val="24"/>
        </w:rPr>
        <w:t>持不同意见的评委应在评标报告上签署不同意见及理由，否则视为同意评标报告。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，并书面报告本项目监督管理部门：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※若废标，则本次采购活动结束，</w:t>
      </w:r>
      <w:r>
        <w:rPr>
          <w:rFonts w:hint="eastAsia" w:ascii="宋体" w:hAnsi="宋体" w:eastAsia="宋体" w:cs="宋体"/>
          <w:spacing w:val="0"/>
          <w:sz w:val="24"/>
          <w:szCs w:val="24"/>
          <w:u w:val="single"/>
        </w:rPr>
        <w:t>福建省闽咨造价咨询有限公司</w:t>
      </w:r>
      <w:r>
        <w:rPr>
          <w:rStyle w:val="9"/>
          <w:rFonts w:hint="eastAsia" w:ascii="宋体" w:hAnsi="宋体" w:eastAsia="宋体" w:cs="宋体"/>
          <w:b/>
          <w:bCs/>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合同包1采用综合评分法。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9"/>
          <w:rFonts w:hint="eastAsia" w:ascii="宋体" w:hAnsi="宋体" w:eastAsia="宋体" w:cs="宋体"/>
          <w:b/>
          <w:bCs/>
          <w:color w:val="393939"/>
          <w:sz w:val="24"/>
          <w:szCs w:val="24"/>
          <w:shd w:val="clear" w:fill="FFFFFF"/>
        </w:rPr>
        <w:t>合同包1采用综合评分法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18"/>
        <w:gridCol w:w="72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val="0"/>
                <w:bCs w:val="0"/>
                <w:sz w:val="21"/>
                <w:szCs w:val="21"/>
              </w:rPr>
            </w:pPr>
            <w:r>
              <w:rPr>
                <w:rFonts w:ascii="宋体" w:hAnsi="宋体" w:eastAsia="宋体" w:cs="宋体"/>
                <w:b w:val="0"/>
                <w:bCs w:val="0"/>
                <w:kern w:val="0"/>
                <w:sz w:val="21"/>
                <w:szCs w:val="21"/>
                <w:lang w:val="en-US" w:eastAsia="zh-CN" w:bidi="ar"/>
              </w:rPr>
              <w:t>评标项目</w:t>
            </w:r>
          </w:p>
        </w:tc>
        <w:tc>
          <w:tcPr>
            <w:tcW w:w="105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val="0"/>
                <w:bCs w:val="0"/>
                <w:sz w:val="21"/>
                <w:szCs w:val="21"/>
              </w:rPr>
            </w:pPr>
            <w:r>
              <w:rPr>
                <w:rFonts w:ascii="宋体" w:hAnsi="宋体" w:eastAsia="宋体" w:cs="宋体"/>
                <w:b w:val="0"/>
                <w:bCs w:val="0"/>
                <w:kern w:val="0"/>
                <w:sz w:val="21"/>
                <w:szCs w:val="21"/>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val="0"/>
                <w:bCs w:val="0"/>
                <w:sz w:val="21"/>
                <w:szCs w:val="21"/>
              </w:rPr>
            </w:pPr>
            <w:r>
              <w:rPr>
                <w:rFonts w:ascii="宋体" w:hAnsi="宋体" w:eastAsia="宋体" w:cs="宋体"/>
                <w:b w:val="0"/>
                <w:bCs w:val="0"/>
                <w:kern w:val="0"/>
                <w:sz w:val="21"/>
                <w:szCs w:val="21"/>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val="0"/>
                <w:bCs w:val="0"/>
                <w:sz w:val="21"/>
                <w:szCs w:val="21"/>
              </w:rPr>
            </w:pPr>
            <w:r>
              <w:rPr>
                <w:rStyle w:val="9"/>
                <w:rFonts w:ascii="宋体" w:hAnsi="宋体" w:eastAsia="宋体" w:cs="宋体"/>
                <w:b w:val="0"/>
                <w:bCs w:val="0"/>
                <w:kern w:val="0"/>
                <w:sz w:val="21"/>
                <w:szCs w:val="21"/>
                <w:lang w:val="en-US" w:eastAsia="zh-CN" w:bidi="ar"/>
              </w:rPr>
              <w:t>1、评审时，对符合《政府采购促进中小企业发展管理办法》（财库﹝2020﹞46号）规定的小微企业报价给予价格扣除【货物和服务项目为10%；工程项目为3%；对于联合协议或者分包意向协议约定小微企业的合同份额占到合同总金额30%以上的，对联合体或者大中型企业的报价扣除比例为2%（工程项目为2%）】，用扣除后的价格参加评审。投标人须提供《政府采购促进中小企业发展管理办法》（财库﹝2020﹞46号）规定的中小企业声明函（格式详见第五章），否则不予价格扣除。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的价格扣除，但必须提供由省级以上监狱管理局、戒毒管理局（含新疆生产建设兵团）出具的属于监狱企业的证明文件，否则评审时不予价格扣除优惠。3、根据财政部、民政部、中国残联文件（财库[2017]141号）及福建省财政、福建省民政厅、福建省残疾人联合会联合发布的《关于进一步落实政府采购支持残疾人就业政策的通知》、福建省财政《关于残疾人福利性单位参加政府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10%的扣除（对残疾人福利性单位与其他组织组成联合体参与政府采购活动的，残疾人福利性单位的协议合同金额占总合同金额30%以上的，给予联合体合同金额3%的价格扣除），但必须提供《残疾人福利性单位声明函》（格式详见第五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5、具体详见招标文件第三章、第五章规定，上述规定与政府采购相关法律、法规、制度等有冲突的，以现行法律、法规、制度等执行。注：享受扶持政策获得政府采购合同的，小微企业不得将合同分包给大中型企业，中型企业不得将合同分包给大型企业。本项目为货物类采购项目，采购标的对应的中小企业划分标准所属行业为房地产开发经营。</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61</w:t>
      </w:r>
      <w:r>
        <w:rPr>
          <w:rFonts w:hint="eastAsia" w:ascii="宋体" w:hAnsi="宋体" w:eastAsia="宋体" w:cs="宋体"/>
          <w:sz w:val="24"/>
          <w:szCs w:val="24"/>
        </w:rPr>
        <w:t>分。</w:t>
      </w:r>
    </w:p>
    <w:tbl>
      <w:tblPr>
        <w:tblStyle w:val="7"/>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22"/>
        <w:gridCol w:w="750"/>
        <w:gridCol w:w="65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评标项目</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评标分值</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1.投标响应</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根据投标人对招标文件第五章“技术和服务要求”的响应情况由评标委员会进行横向评议并打分： ①完全满足招标文件要求的得6分； ②“技术和服务要求”中带有“★”不允许负偏离，负偏离按无效标处理； ③其它技术指标（15项）每负偏离一项扣0.4分，扣完为止。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2" w:hRule="atLeast"/>
        </w:trPr>
        <w:tc>
          <w:tcPr>
            <w:tcW w:w="1022"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hint="eastAsia" w:ascii="宋体" w:hAnsi="宋体" w:eastAsia="宋体" w:cs="宋体"/>
                <w:kern w:val="0"/>
                <w:sz w:val="21"/>
                <w:szCs w:val="21"/>
                <w:lang w:val="en-US" w:eastAsia="zh-CN" w:bidi="ar"/>
              </w:rPr>
              <w:t>2</w:t>
            </w:r>
            <w:r>
              <w:rPr>
                <w:rFonts w:ascii="宋体" w:hAnsi="宋体" w:eastAsia="宋体" w:cs="宋体"/>
                <w:kern w:val="0"/>
                <w:sz w:val="21"/>
                <w:szCs w:val="21"/>
                <w:lang w:val="en-US" w:eastAsia="zh-CN" w:bidi="ar"/>
              </w:rPr>
              <w:t>.套房户型（注：投标时需提供所投户型图予以佐证，否则不予认定。）</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所投房源均动静分离（客厅、餐厅与卧室分开设置）的得3分，有一套非动静分离的得扣1分，扣完为止。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2" w:hRule="atLeast"/>
        </w:trPr>
        <w:tc>
          <w:tcPr>
            <w:tcW w:w="1022"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1"/>
                <w:szCs w:val="21"/>
              </w:rPr>
            </w:pP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1"/>
                <w:szCs w:val="21"/>
                <w:highlight w:val="cyan"/>
                <w:lang w:val="en-US" w:eastAsia="zh-CN" w:bidi="ar"/>
              </w:rPr>
            </w:pPr>
            <w:r>
              <w:rPr>
                <w:rFonts w:ascii="宋体" w:hAnsi="宋体" w:eastAsia="宋体" w:cs="宋体"/>
                <w:color w:val="auto"/>
                <w:kern w:val="0"/>
                <w:sz w:val="21"/>
                <w:szCs w:val="21"/>
                <w:highlight w:val="none"/>
                <w:lang w:val="en-US" w:eastAsia="zh-CN" w:bidi="ar"/>
              </w:rPr>
              <w:t>所投3房建筑面积（或产权面积）不少于6套且面积在135-145平方米区间的得3分，其他不得分。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2" w:hRule="atLeast"/>
        </w:trPr>
        <w:tc>
          <w:tcPr>
            <w:tcW w:w="1022"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1"/>
                <w:szCs w:val="21"/>
              </w:rPr>
            </w:pP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1"/>
                <w:szCs w:val="21"/>
                <w:highlight w:val="cyan"/>
                <w:lang w:val="en-US" w:eastAsia="zh-CN" w:bidi="ar"/>
              </w:rPr>
            </w:pPr>
            <w:r>
              <w:rPr>
                <w:rFonts w:ascii="宋体" w:hAnsi="宋体" w:eastAsia="宋体" w:cs="宋体"/>
                <w:kern w:val="0"/>
                <w:sz w:val="21"/>
                <w:szCs w:val="21"/>
                <w:highlight w:val="none"/>
                <w:lang w:val="en-US" w:eastAsia="zh-CN" w:bidi="ar"/>
              </w:rPr>
              <w:t>所投4房建筑面积（或产权面积）不少于6套且面</w:t>
            </w:r>
            <w:r>
              <w:rPr>
                <w:rFonts w:hint="eastAsia" w:ascii="宋体" w:hAnsi="宋体" w:eastAsia="宋体" w:cs="宋体"/>
                <w:kern w:val="0"/>
                <w:sz w:val="21"/>
                <w:szCs w:val="21"/>
                <w:highlight w:val="none"/>
                <w:lang w:val="en-US" w:eastAsia="zh-CN" w:bidi="ar"/>
              </w:rPr>
              <w:t>积</w:t>
            </w:r>
            <w:r>
              <w:rPr>
                <w:rFonts w:ascii="宋体" w:hAnsi="宋体" w:eastAsia="宋体" w:cs="宋体"/>
                <w:kern w:val="0"/>
                <w:sz w:val="21"/>
                <w:szCs w:val="21"/>
                <w:highlight w:val="none"/>
                <w:lang w:val="en-US" w:eastAsia="zh-CN" w:bidi="ar"/>
              </w:rPr>
              <w:t>在135-145平方米区间的得3分，其他不得分。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hint="eastAsia" w:ascii="宋体" w:hAnsi="宋体" w:eastAsia="宋体" w:cs="宋体"/>
                <w:kern w:val="0"/>
                <w:sz w:val="21"/>
                <w:szCs w:val="21"/>
                <w:lang w:val="en-US" w:eastAsia="zh-CN" w:bidi="ar"/>
              </w:rPr>
              <w:t>3</w:t>
            </w:r>
            <w:r>
              <w:rPr>
                <w:rFonts w:ascii="宋体" w:hAnsi="宋体" w:eastAsia="宋体" w:cs="宋体"/>
                <w:kern w:val="0"/>
                <w:sz w:val="21"/>
                <w:szCs w:val="21"/>
                <w:lang w:val="en-US" w:eastAsia="zh-CN" w:bidi="ar"/>
              </w:rPr>
              <w:t>.房屋楼层</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根据投标人所投3房户型楼层进行评分：所投户型均位于中高层（7层及以上视为中高层，但不含顶层）的得3分，有一套非中高层的扣1分，扣完为止。 注：投标人需进行承诺，格式自拟。承诺内容至少包括房屋总楼层、拟投户型所在楼层等信息。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1"/>
                <w:szCs w:val="21"/>
              </w:rPr>
            </w:pP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根据投标人所投4房户型楼层进行评分：所投户型均位于中高层（7层及以上视为中高层，但不含顶层）的得3分，有一套非中高层的扣1分，扣完为止。 注：投标人需进行承诺，格式自拟。承诺内容至少包括房屋总楼层、拟投户型所在楼层等信息。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1"/>
                <w:szCs w:val="21"/>
              </w:rPr>
            </w:pP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color w:val="auto"/>
                <w:kern w:val="0"/>
                <w:szCs w:val="21"/>
                <w:highlight w:val="yellow"/>
              </w:rPr>
            </w:pPr>
            <w:r>
              <w:rPr>
                <w:rFonts w:hint="eastAsia" w:ascii="宋体" w:hAnsi="宋体" w:eastAsia="宋体" w:cs="宋体"/>
                <w:color w:val="auto"/>
                <w:kern w:val="0"/>
                <w:szCs w:val="21"/>
                <w:highlight w:val="yellow"/>
              </w:rPr>
              <w:t>所投房源层高≧3米的得3分；2.9米≤所投房源层高＜3米的得1分；其他不得分。</w:t>
            </w:r>
          </w:p>
          <w:p>
            <w:pPr>
              <w:keepNext w:val="0"/>
              <w:keepLines w:val="0"/>
              <w:widowControl/>
              <w:suppressLineNumbers w:val="0"/>
              <w:jc w:val="left"/>
              <w:rPr>
                <w:color w:val="auto"/>
                <w:sz w:val="21"/>
                <w:szCs w:val="21"/>
                <w:highlight w:val="yellow"/>
              </w:rPr>
            </w:pPr>
            <w:r>
              <w:rPr>
                <w:rFonts w:ascii="宋体" w:hAnsi="宋体" w:eastAsia="宋体" w:cs="宋体"/>
                <w:color w:val="auto"/>
                <w:kern w:val="0"/>
                <w:sz w:val="21"/>
                <w:szCs w:val="21"/>
                <w:highlight w:val="yellow"/>
                <w:lang w:val="en-US" w:eastAsia="zh-CN" w:bidi="ar"/>
              </w:rPr>
              <w:t>注:投标人需提供所投楼盘报批或竣工剖面图予以佐证，否则不予认定。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trPr>
        <w:tc>
          <w:tcPr>
            <w:tcW w:w="10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hint="eastAsia" w:ascii="宋体" w:hAnsi="宋体" w:eastAsia="宋体" w:cs="宋体"/>
                <w:kern w:val="0"/>
                <w:sz w:val="21"/>
                <w:szCs w:val="21"/>
                <w:lang w:val="en-US" w:eastAsia="zh-CN" w:bidi="ar"/>
              </w:rPr>
              <w:t>4</w:t>
            </w:r>
            <w:r>
              <w:rPr>
                <w:rFonts w:ascii="宋体" w:hAnsi="宋体" w:eastAsia="宋体" w:cs="宋体"/>
                <w:kern w:val="0"/>
                <w:sz w:val="21"/>
                <w:szCs w:val="21"/>
                <w:lang w:val="en-US" w:eastAsia="zh-CN" w:bidi="ar"/>
              </w:rPr>
              <w:t>.采光通风</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color w:val="auto"/>
                <w:kern w:val="0"/>
                <w:sz w:val="21"/>
                <w:szCs w:val="21"/>
                <w:highlight w:val="yellow"/>
                <w:lang w:val="en-US" w:eastAsia="zh-CN" w:bidi="ar"/>
              </w:rPr>
            </w:pPr>
            <w:bookmarkStart w:id="0" w:name="_GoBack"/>
            <w:r>
              <w:rPr>
                <w:rFonts w:hint="eastAsia" w:ascii="宋体" w:hAnsi="宋体" w:eastAsia="宋体" w:cs="宋体"/>
                <w:color w:val="auto"/>
                <w:kern w:val="0"/>
                <w:szCs w:val="21"/>
                <w:highlight w:val="yellow"/>
              </w:rPr>
              <w:t>采光通风条件进行评分：</w:t>
            </w:r>
            <w:r>
              <w:rPr>
                <w:rFonts w:ascii="宋体" w:hAnsi="宋体" w:eastAsia="宋体" w:cs="宋体"/>
                <w:color w:val="auto"/>
                <w:kern w:val="0"/>
                <w:sz w:val="21"/>
                <w:szCs w:val="21"/>
                <w:highlight w:val="yellow"/>
                <w:lang w:val="en-US" w:eastAsia="zh-CN" w:bidi="ar"/>
              </w:rPr>
              <w:t>所投全部房源</w:t>
            </w:r>
            <w:r>
              <w:rPr>
                <w:rFonts w:hint="eastAsia" w:ascii="宋体" w:hAnsi="宋体" w:eastAsia="宋体" w:cs="宋体"/>
                <w:color w:val="auto"/>
                <w:kern w:val="0"/>
                <w:szCs w:val="21"/>
                <w:highlight w:val="yellow"/>
              </w:rPr>
              <w:t>采光充足、通风良好且明厨明卫</w:t>
            </w:r>
            <w:r>
              <w:rPr>
                <w:rFonts w:ascii="宋体" w:hAnsi="宋体" w:eastAsia="宋体" w:cs="宋体"/>
                <w:color w:val="auto"/>
                <w:kern w:val="0"/>
                <w:sz w:val="21"/>
                <w:szCs w:val="21"/>
                <w:highlight w:val="yellow"/>
                <w:lang w:val="en-US" w:eastAsia="zh-CN" w:bidi="ar"/>
              </w:rPr>
              <w:t>（不含采光井）</w:t>
            </w:r>
            <w:r>
              <w:rPr>
                <w:rFonts w:hint="eastAsia" w:ascii="宋体" w:hAnsi="宋体" w:eastAsia="宋体" w:cs="宋体"/>
                <w:color w:val="auto"/>
                <w:kern w:val="0"/>
                <w:szCs w:val="21"/>
                <w:highlight w:val="yellow"/>
              </w:rPr>
              <w:t>的得3分；</w:t>
            </w:r>
            <w:r>
              <w:rPr>
                <w:rFonts w:ascii="宋体" w:hAnsi="宋体" w:eastAsia="宋体" w:cs="宋体"/>
                <w:color w:val="auto"/>
                <w:kern w:val="0"/>
                <w:sz w:val="21"/>
                <w:szCs w:val="21"/>
                <w:highlight w:val="yellow"/>
                <w:lang w:val="en-US" w:eastAsia="zh-CN" w:bidi="ar"/>
              </w:rPr>
              <w:t>所投房源</w:t>
            </w:r>
            <w:r>
              <w:rPr>
                <w:rFonts w:hint="eastAsia" w:ascii="宋体" w:hAnsi="宋体" w:eastAsia="宋体" w:cs="宋体"/>
                <w:color w:val="auto"/>
                <w:kern w:val="0"/>
                <w:sz w:val="21"/>
                <w:szCs w:val="21"/>
                <w:highlight w:val="yellow"/>
                <w:lang w:val="en-US" w:eastAsia="zh-CN" w:bidi="ar"/>
              </w:rPr>
              <w:t>存在</w:t>
            </w:r>
            <w:r>
              <w:rPr>
                <w:rFonts w:hint="eastAsia" w:ascii="宋体" w:hAnsi="宋体" w:eastAsia="宋体" w:cs="宋体"/>
                <w:color w:val="auto"/>
                <w:kern w:val="0"/>
                <w:szCs w:val="21"/>
                <w:highlight w:val="yellow"/>
              </w:rPr>
              <w:t>单面或只有两面采光通风</w:t>
            </w:r>
            <w:r>
              <w:rPr>
                <w:rFonts w:ascii="宋体" w:hAnsi="宋体" w:eastAsia="宋体" w:cs="宋体"/>
                <w:color w:val="auto"/>
                <w:kern w:val="0"/>
                <w:sz w:val="21"/>
                <w:szCs w:val="21"/>
                <w:highlight w:val="yellow"/>
                <w:lang w:val="en-US" w:eastAsia="zh-CN" w:bidi="ar"/>
              </w:rPr>
              <w:t>（不含采光井）</w:t>
            </w:r>
            <w:r>
              <w:rPr>
                <w:rFonts w:hint="eastAsia" w:ascii="宋体" w:hAnsi="宋体" w:eastAsia="宋体" w:cs="宋体"/>
                <w:color w:val="auto"/>
                <w:kern w:val="0"/>
                <w:szCs w:val="21"/>
                <w:highlight w:val="yellow"/>
              </w:rPr>
              <w:t>的得1分；其他不得分。</w:t>
            </w:r>
          </w:p>
          <w:p>
            <w:pPr>
              <w:keepNext w:val="0"/>
              <w:keepLines w:val="0"/>
              <w:widowControl/>
              <w:suppressLineNumbers w:val="0"/>
              <w:jc w:val="left"/>
              <w:rPr>
                <w:color w:val="auto"/>
                <w:sz w:val="21"/>
                <w:szCs w:val="21"/>
                <w:highlight w:val="yellow"/>
              </w:rPr>
            </w:pPr>
            <w:r>
              <w:rPr>
                <w:rFonts w:ascii="宋体" w:hAnsi="宋体" w:eastAsia="宋体" w:cs="宋体"/>
                <w:color w:val="auto"/>
                <w:kern w:val="0"/>
                <w:sz w:val="21"/>
                <w:szCs w:val="21"/>
                <w:highlight w:val="yellow"/>
                <w:lang w:val="en-US" w:eastAsia="zh-CN" w:bidi="ar"/>
              </w:rPr>
              <w:t xml:space="preserve"> 注：投标人需提供所投</w:t>
            </w:r>
            <w:r>
              <w:rPr>
                <w:rFonts w:hint="eastAsia" w:ascii="宋体" w:hAnsi="宋体" w:eastAsia="宋体" w:cs="宋体"/>
                <w:color w:val="auto"/>
                <w:kern w:val="0"/>
                <w:sz w:val="21"/>
                <w:szCs w:val="21"/>
                <w:highlight w:val="yellow"/>
                <w:lang w:val="en-US" w:eastAsia="zh-CN" w:bidi="ar"/>
              </w:rPr>
              <w:t>户型标准层平面图</w:t>
            </w:r>
            <w:r>
              <w:rPr>
                <w:rFonts w:ascii="宋体" w:hAnsi="宋体" w:eastAsia="宋体" w:cs="宋体"/>
                <w:color w:val="auto"/>
                <w:kern w:val="0"/>
                <w:sz w:val="21"/>
                <w:szCs w:val="21"/>
                <w:highlight w:val="yellow"/>
                <w:lang w:val="en-US" w:eastAsia="zh-CN" w:bidi="ar"/>
              </w:rPr>
              <w:t>予以佐证，否则不予认定。</w:t>
            </w:r>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83" w:hRule="atLeast"/>
        </w:trPr>
        <w:tc>
          <w:tcPr>
            <w:tcW w:w="10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hint="eastAsia" w:ascii="宋体" w:hAnsi="宋体" w:eastAsia="宋体" w:cs="宋体"/>
                <w:kern w:val="0"/>
                <w:sz w:val="21"/>
                <w:szCs w:val="21"/>
                <w:lang w:val="en-US" w:eastAsia="zh-CN" w:bidi="ar"/>
              </w:rPr>
              <w:t>5</w:t>
            </w:r>
            <w:r>
              <w:rPr>
                <w:rFonts w:ascii="宋体" w:hAnsi="宋体" w:eastAsia="宋体" w:cs="宋体"/>
                <w:kern w:val="0"/>
                <w:sz w:val="21"/>
                <w:szCs w:val="21"/>
                <w:lang w:val="en-US" w:eastAsia="zh-CN" w:bidi="ar"/>
              </w:rPr>
              <w:t>.位置朝向</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color w:val="auto"/>
                <w:kern w:val="0"/>
                <w:sz w:val="21"/>
                <w:szCs w:val="21"/>
                <w:highlight w:val="yellow"/>
                <w:lang w:val="en-US" w:eastAsia="zh-CN" w:bidi="ar"/>
              </w:rPr>
              <w:t>根据楼盘朝向及所投户型朝向进行评分：所投全部房源南北朝向的得3分；所投部分房源（</w:t>
            </w:r>
            <w:r>
              <w:rPr>
                <w:rFonts w:hint="eastAsia" w:ascii="宋体" w:hAnsi="宋体" w:eastAsia="宋体" w:cs="宋体"/>
                <w:color w:val="auto"/>
                <w:kern w:val="0"/>
                <w:sz w:val="21"/>
                <w:szCs w:val="21"/>
                <w:highlight w:val="yellow"/>
                <w:lang w:val="en-US" w:eastAsia="zh-CN" w:bidi="ar"/>
              </w:rPr>
              <w:t>15</w:t>
            </w:r>
            <w:r>
              <w:rPr>
                <w:rFonts w:ascii="宋体" w:hAnsi="宋体" w:eastAsia="宋体" w:cs="宋体"/>
                <w:color w:val="auto"/>
                <w:kern w:val="0"/>
                <w:sz w:val="21"/>
                <w:szCs w:val="21"/>
                <w:highlight w:val="yellow"/>
                <w:lang w:val="en-US" w:eastAsia="zh-CN" w:bidi="ar"/>
              </w:rPr>
              <w:t>＜房源≤</w:t>
            </w:r>
            <w:r>
              <w:rPr>
                <w:rFonts w:hint="eastAsia" w:ascii="宋体" w:hAnsi="宋体" w:eastAsia="宋体" w:cs="宋体"/>
                <w:color w:val="auto"/>
                <w:kern w:val="0"/>
                <w:sz w:val="21"/>
                <w:szCs w:val="21"/>
                <w:highlight w:val="yellow"/>
                <w:lang w:val="en-US" w:eastAsia="zh-CN" w:bidi="ar"/>
              </w:rPr>
              <w:t>8</w:t>
            </w:r>
            <w:r>
              <w:rPr>
                <w:rFonts w:ascii="宋体" w:hAnsi="宋体" w:eastAsia="宋体" w:cs="宋体"/>
                <w:color w:val="auto"/>
                <w:kern w:val="0"/>
                <w:sz w:val="21"/>
                <w:szCs w:val="21"/>
                <w:highlight w:val="yellow"/>
                <w:lang w:val="en-US" w:eastAsia="zh-CN" w:bidi="ar"/>
              </w:rPr>
              <w:t>套）南北朝向的得2分；所投部分房源（房源＜8套）南北朝向的不得分。 注：投标人需提供所投楼盘报批或竣工总平面图予以佐证，否则不予认定。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4" w:hRule="atLeast"/>
        </w:trPr>
        <w:tc>
          <w:tcPr>
            <w:tcW w:w="1022"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hint="eastAsia" w:ascii="宋体" w:hAnsi="宋体" w:eastAsia="宋体" w:cs="宋体"/>
                <w:kern w:val="0"/>
                <w:sz w:val="21"/>
                <w:szCs w:val="21"/>
                <w:lang w:val="en-US" w:eastAsia="zh-CN" w:bidi="ar"/>
              </w:rPr>
              <w:t>6</w:t>
            </w:r>
            <w:r>
              <w:rPr>
                <w:rFonts w:ascii="宋体" w:hAnsi="宋体" w:eastAsia="宋体" w:cs="宋体"/>
                <w:kern w:val="0"/>
                <w:sz w:val="21"/>
                <w:szCs w:val="21"/>
                <w:lang w:val="en-US" w:eastAsia="zh-CN" w:bidi="ar"/>
              </w:rPr>
              <w:t>.产品类型（注：投标人需提供</w:t>
            </w:r>
            <w:r>
              <w:rPr>
                <w:rFonts w:ascii="宋体" w:hAnsi="宋体" w:eastAsia="宋体" w:cs="宋体"/>
                <w:color w:val="auto"/>
                <w:kern w:val="0"/>
                <w:sz w:val="21"/>
                <w:szCs w:val="21"/>
                <w:highlight w:val="yellow"/>
                <w:lang w:val="en-US" w:eastAsia="zh-CN" w:bidi="ar"/>
              </w:rPr>
              <w:t>所投</w:t>
            </w:r>
            <w:r>
              <w:rPr>
                <w:rFonts w:hint="eastAsia" w:ascii="宋体" w:hAnsi="宋体" w:eastAsia="宋体" w:cs="宋体"/>
                <w:color w:val="auto"/>
                <w:kern w:val="0"/>
                <w:sz w:val="21"/>
                <w:szCs w:val="21"/>
                <w:highlight w:val="yellow"/>
                <w:lang w:val="en-US" w:eastAsia="zh-CN" w:bidi="ar"/>
              </w:rPr>
              <w:t>户型标准层</w:t>
            </w:r>
            <w:r>
              <w:rPr>
                <w:rFonts w:ascii="宋体" w:hAnsi="宋体" w:eastAsia="宋体" w:cs="宋体"/>
                <w:color w:val="auto"/>
                <w:kern w:val="0"/>
                <w:sz w:val="21"/>
                <w:szCs w:val="21"/>
                <w:highlight w:val="yellow"/>
                <w:lang w:val="en-US" w:eastAsia="zh-CN" w:bidi="ar"/>
              </w:rPr>
              <w:t>平面图</w:t>
            </w:r>
            <w:r>
              <w:rPr>
                <w:rFonts w:ascii="宋体" w:hAnsi="宋体" w:eastAsia="宋体" w:cs="宋体"/>
                <w:kern w:val="0"/>
                <w:sz w:val="21"/>
                <w:szCs w:val="21"/>
                <w:lang w:val="en-US" w:eastAsia="zh-CN" w:bidi="ar"/>
              </w:rPr>
              <w:t>予以佐证，否则不予认定。）</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所提供的楼房均在同一梯位得3分；不在同一梯位每套扣1分，扣完为止。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7" w:hRule="atLeast"/>
        </w:trPr>
        <w:tc>
          <w:tcPr>
            <w:tcW w:w="1022"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1"/>
                <w:szCs w:val="21"/>
              </w:rPr>
            </w:pP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所提供的楼房单元电梯数量≧该楼层户数的得3分；单元电梯数量=该楼层户数-1的得2分；其他不得分。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hint="eastAsia" w:ascii="宋体" w:hAnsi="宋体" w:eastAsia="宋体" w:cs="宋体"/>
                <w:kern w:val="0"/>
                <w:sz w:val="21"/>
                <w:szCs w:val="21"/>
                <w:lang w:val="en-US" w:eastAsia="zh-CN" w:bidi="ar"/>
              </w:rPr>
              <w:t>7</w:t>
            </w:r>
            <w:r>
              <w:rPr>
                <w:rFonts w:ascii="宋体" w:hAnsi="宋体" w:eastAsia="宋体" w:cs="宋体"/>
                <w:kern w:val="0"/>
                <w:sz w:val="21"/>
                <w:szCs w:val="21"/>
                <w:lang w:val="en-US" w:eastAsia="zh-CN" w:bidi="ar"/>
              </w:rPr>
              <w:t>.地段环境</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楼盘属于I级土地，楼盘位置虽处于主干道或商业中心地段，但所投套房位置不处于临街的得3分；楼盘属于I级土地，楼盘和所投户型处于临街的得1分；其他不得分。 注：政府部门出具的片区划定方案并进行承诺，否则不予认定。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hint="eastAsia" w:ascii="宋体" w:hAnsi="宋体" w:eastAsia="宋体" w:cs="宋体"/>
                <w:kern w:val="0"/>
                <w:sz w:val="21"/>
                <w:szCs w:val="21"/>
                <w:lang w:val="en-US" w:eastAsia="zh-CN" w:bidi="ar"/>
              </w:rPr>
              <w:t>8</w:t>
            </w:r>
            <w:r>
              <w:rPr>
                <w:rFonts w:ascii="宋体" w:hAnsi="宋体" w:eastAsia="宋体" w:cs="宋体"/>
                <w:kern w:val="0"/>
                <w:sz w:val="21"/>
                <w:szCs w:val="21"/>
                <w:lang w:val="en-US" w:eastAsia="zh-CN" w:bidi="ar"/>
              </w:rPr>
              <w:t>.教育配套</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楼盘半径≤2公里有中、小学的得3分；2公里＜半径≤3公里的得1分；3公里以上的不得分。 注：以高德地图截图为准，起点学校（或所在楼盘）至终点所在楼盘（或学校）。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hint="eastAsia" w:ascii="宋体" w:hAnsi="宋体" w:eastAsia="宋体" w:cs="宋体"/>
                <w:kern w:val="0"/>
                <w:sz w:val="21"/>
                <w:szCs w:val="21"/>
                <w:lang w:val="en-US" w:eastAsia="zh-CN" w:bidi="ar"/>
              </w:rPr>
              <w:t>9</w:t>
            </w:r>
            <w:r>
              <w:rPr>
                <w:rFonts w:ascii="宋体" w:hAnsi="宋体" w:eastAsia="宋体" w:cs="宋体"/>
                <w:kern w:val="0"/>
                <w:sz w:val="21"/>
                <w:szCs w:val="21"/>
                <w:lang w:val="en-US" w:eastAsia="zh-CN" w:bidi="ar"/>
              </w:rPr>
              <w:t>.公园配套</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楼盘半径≤2公里有公园的得3分；2公里＜半径≤3公里的得1分；3公里以上的不得分。 注：以高德地图截图为准，起点公园（或所在楼盘）至终点所在楼盘（或公园）。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w:t>
            </w:r>
            <w:r>
              <w:rPr>
                <w:rFonts w:hint="eastAsia" w:ascii="宋体" w:hAnsi="宋体" w:eastAsia="宋体" w:cs="宋体"/>
                <w:kern w:val="0"/>
                <w:sz w:val="21"/>
                <w:szCs w:val="21"/>
                <w:lang w:val="en-US" w:eastAsia="zh-CN" w:bidi="ar"/>
              </w:rPr>
              <w:t>0</w:t>
            </w:r>
            <w:r>
              <w:rPr>
                <w:rFonts w:ascii="宋体" w:hAnsi="宋体" w:eastAsia="宋体" w:cs="宋体"/>
                <w:kern w:val="0"/>
                <w:sz w:val="21"/>
                <w:szCs w:val="21"/>
                <w:lang w:val="en-US" w:eastAsia="zh-CN" w:bidi="ar"/>
              </w:rPr>
              <w:t>.小区环境</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color w:val="auto"/>
                <w:kern w:val="0"/>
                <w:sz w:val="21"/>
                <w:szCs w:val="21"/>
                <w:highlight w:val="yellow"/>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小区为封闭式管理，实行人车分流的得</w:t>
            </w:r>
            <w:r>
              <w:rPr>
                <w:rFonts w:hint="eastAsia" w:ascii="宋体" w:hAnsi="宋体" w:eastAsia="宋体" w:cs="宋体"/>
                <w:kern w:val="0"/>
                <w:sz w:val="21"/>
                <w:szCs w:val="21"/>
                <w:highlight w:val="yellow"/>
                <w:lang w:val="en-US" w:eastAsia="zh-CN" w:bidi="ar"/>
              </w:rPr>
              <w:t>3</w:t>
            </w:r>
            <w:r>
              <w:rPr>
                <w:rFonts w:ascii="宋体" w:hAnsi="宋体" w:eastAsia="宋体" w:cs="宋体"/>
                <w:kern w:val="0"/>
                <w:sz w:val="21"/>
                <w:szCs w:val="21"/>
                <w:lang w:val="en-US" w:eastAsia="zh-CN" w:bidi="ar"/>
              </w:rPr>
              <w:t>分，其他不得分。 注：投标人需提供所投楼盘报批或竣工总平面图予以佐证，否则不予认定。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w:t>
            </w:r>
            <w:r>
              <w:rPr>
                <w:rFonts w:hint="eastAsia" w:ascii="宋体" w:hAnsi="宋体" w:eastAsia="宋体" w:cs="宋体"/>
                <w:kern w:val="0"/>
                <w:sz w:val="21"/>
                <w:szCs w:val="21"/>
                <w:lang w:val="en-US" w:eastAsia="zh-CN" w:bidi="ar"/>
              </w:rPr>
              <w:t>1</w:t>
            </w:r>
            <w:r>
              <w:rPr>
                <w:rFonts w:ascii="宋体" w:hAnsi="宋体" w:eastAsia="宋体" w:cs="宋体"/>
                <w:kern w:val="0"/>
                <w:sz w:val="21"/>
                <w:szCs w:val="21"/>
                <w:lang w:val="en-US" w:eastAsia="zh-CN" w:bidi="ar"/>
              </w:rPr>
              <w:t>.房龄</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评标委员会根据以下情况进行评分：现房，但房龄≤1年的得3分；现房，1年&lt;房龄≤3年的得2分；现房，但房龄＞3年得1分。 注：投标人需提供所投楼盘《开发项目首次登记证明》，否则不予认定。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w:t>
            </w:r>
            <w:r>
              <w:rPr>
                <w:rFonts w:hint="eastAsia" w:ascii="宋体" w:hAnsi="宋体" w:eastAsia="宋体" w:cs="宋体"/>
                <w:kern w:val="0"/>
                <w:sz w:val="21"/>
                <w:szCs w:val="21"/>
                <w:lang w:val="en-US" w:eastAsia="zh-CN" w:bidi="ar"/>
              </w:rPr>
              <w:t>2</w:t>
            </w:r>
            <w:r>
              <w:rPr>
                <w:rFonts w:ascii="宋体" w:hAnsi="宋体" w:eastAsia="宋体" w:cs="宋体"/>
                <w:kern w:val="0"/>
                <w:sz w:val="21"/>
                <w:szCs w:val="21"/>
                <w:lang w:val="en-US" w:eastAsia="zh-CN" w:bidi="ar"/>
              </w:rPr>
              <w:t>.停车位</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ascii="宋体" w:hAnsi="宋体" w:eastAsia="宋体" w:cs="宋体"/>
                <w:kern w:val="0"/>
                <w:sz w:val="21"/>
                <w:szCs w:val="21"/>
                <w:lang w:val="en-US" w:eastAsia="zh-CN" w:bidi="ar"/>
              </w:rPr>
            </w:pPr>
            <w:r>
              <w:rPr>
                <w:rFonts w:hint="eastAsia" w:ascii="宋体" w:hAnsi="宋体" w:eastAsia="宋体" w:cs="宋体"/>
                <w:kern w:val="0"/>
                <w:sz w:val="21"/>
                <w:szCs w:val="21"/>
                <w:highlight w:val="yellow"/>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以所提供的楼房电梯轿厢为中心半径≤20米的车位不少于15个得</w:t>
            </w:r>
            <w:r>
              <w:rPr>
                <w:rFonts w:hint="eastAsia" w:ascii="宋体" w:hAnsi="宋体" w:eastAsia="宋体" w:cs="宋体"/>
                <w:color w:val="auto"/>
                <w:kern w:val="0"/>
                <w:sz w:val="21"/>
                <w:szCs w:val="21"/>
                <w:highlight w:val="yellow"/>
                <w:lang w:val="en-US" w:eastAsia="zh-CN" w:bidi="ar"/>
              </w:rPr>
              <w:t>3</w:t>
            </w:r>
            <w:r>
              <w:rPr>
                <w:rFonts w:ascii="宋体" w:hAnsi="宋体" w:eastAsia="宋体" w:cs="宋体"/>
                <w:kern w:val="0"/>
                <w:sz w:val="21"/>
                <w:szCs w:val="21"/>
                <w:lang w:val="en-US" w:eastAsia="zh-CN" w:bidi="ar"/>
              </w:rPr>
              <w:t>分，需提供停车位平面图及承诺函，否则不予以认定。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1"/>
                <w:szCs w:val="21"/>
              </w:rPr>
            </w:pP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投标人承诺提供同一区域的车位的得2分。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1"/>
                <w:szCs w:val="21"/>
              </w:rPr>
            </w:pP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投标人承诺提供的可选车位数不少于50个的得2分。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w:t>
            </w:r>
            <w:r>
              <w:rPr>
                <w:rFonts w:hint="eastAsia" w:ascii="宋体" w:hAnsi="宋体" w:eastAsia="宋体" w:cs="宋体"/>
                <w:kern w:val="0"/>
                <w:sz w:val="21"/>
                <w:szCs w:val="21"/>
                <w:lang w:val="en-US" w:eastAsia="zh-CN" w:bidi="ar"/>
              </w:rPr>
              <w:t>3</w:t>
            </w:r>
            <w:r>
              <w:rPr>
                <w:rFonts w:ascii="宋体" w:hAnsi="宋体" w:eastAsia="宋体" w:cs="宋体"/>
                <w:kern w:val="0"/>
                <w:sz w:val="21"/>
                <w:szCs w:val="21"/>
                <w:lang w:val="en-US" w:eastAsia="zh-CN" w:bidi="ar"/>
              </w:rPr>
              <w:t>.现场陈述 (不超过5分钟)</w:t>
            </w:r>
          </w:p>
        </w:tc>
        <w:tc>
          <w:tcPr>
            <w:tcW w:w="7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654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根据楼盘座落的地理位置、物业管理及其周边配套等进行阐述由评委进行评议： 陈述内容详实、具体、全面、有附相应图片的得3分。 陈述内容较详实、较具体且有附部分图片的得1.5分。陈述一般的得0.5分。 其他不得分。</w:t>
            </w:r>
          </w:p>
        </w:tc>
      </w:tr>
    </w:tbl>
    <w:p>
      <w:pPr>
        <w:pStyle w:val="6"/>
        <w:keepNext w:val="0"/>
        <w:keepLines w:val="0"/>
        <w:widowControl/>
        <w:suppressLineNumbers w:val="0"/>
        <w:spacing w:before="0" w:beforeAutospacing="0" w:after="150" w:afterAutospacing="0"/>
        <w:ind w:left="0" w:right="0" w:firstLine="480"/>
        <w:rPr>
          <w:rFonts w:hint="eastAsia" w:ascii="宋体" w:hAnsi="宋体" w:eastAsia="宋体" w:cs="宋体"/>
          <w:sz w:val="24"/>
          <w:szCs w:val="24"/>
        </w:rPr>
      </w:pPr>
    </w:p>
    <w:p>
      <w:pPr>
        <w:pStyle w:val="6"/>
        <w:keepNext w:val="0"/>
        <w:keepLines w:val="0"/>
        <w:widowControl/>
        <w:suppressLineNumbers w:val="0"/>
        <w:spacing w:before="0" w:beforeAutospacing="0" w:after="150" w:afterAutospacing="0"/>
        <w:ind w:left="0" w:right="0" w:firstLine="480"/>
        <w:rPr>
          <w:rFonts w:hint="eastAsia" w:ascii="宋体" w:hAnsi="宋体" w:eastAsia="宋体" w:cs="宋体"/>
          <w:sz w:val="24"/>
          <w:szCs w:val="24"/>
        </w:rPr>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9</w:t>
      </w:r>
      <w:r>
        <w:rPr>
          <w:rFonts w:hint="eastAsia" w:ascii="宋体" w:hAnsi="宋体" w:eastAsia="宋体" w:cs="宋体"/>
          <w:sz w:val="24"/>
          <w:szCs w:val="24"/>
        </w:rPr>
        <w:t>分。</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6"/>
        <w:keepNext w:val="0"/>
        <w:keepLines w:val="0"/>
        <w:widowControl/>
        <w:suppressLineNumbers w:val="0"/>
        <w:spacing w:before="0" w:beforeAutospacing="0" w:after="150" w:afterAutospacing="0"/>
        <w:ind w:left="0" w:right="0" w:firstLine="480"/>
        <w:rPr>
          <w:rFonts w:hint="eastAsia" w:ascii="宋体" w:hAnsi="宋体" w:eastAsia="宋体" w:cs="宋体"/>
          <w:sz w:val="24"/>
          <w:szCs w:val="24"/>
        </w:rPr>
      </w:pP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8"/>
        <w:gridCol w:w="788"/>
        <w:gridCol w:w="67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评标项目</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评标分值</w:t>
            </w:r>
          </w:p>
        </w:tc>
        <w:tc>
          <w:tcPr>
            <w:tcW w:w="105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1"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1.投标人综合实力</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根据拟投楼盘所在地的开发数量进行评分：3个及以上楼盘得3分；2个得1分；其他不得分。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2.保修方案</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根据投标人所提供的保修方案进行评分，方案详细完整合理，可操作性强，有针对性的得3分；针对性提出方案基本完整，可操作性一般的得1分；未针对性提出方案，且可操作性较差的不得分。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3.无合同违约行为</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投标人有承诺近三年来的经营活动中无合同违约行为（投标人成立不满三年，则提供自成立以来经营活动中无合同违约行为）的得3分，（需提供承诺函，格式自拟）未提供的不得分。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4"/>
        <w:gridCol w:w="703"/>
        <w:gridCol w:w="68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评标项目</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评标分值</w:t>
            </w:r>
          </w:p>
        </w:tc>
        <w:tc>
          <w:tcPr>
            <w:tcW w:w="105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节能、环境标志产品</w:t>
            </w:r>
          </w:p>
        </w:tc>
        <w:tc>
          <w:tcPr>
            <w:tcW w:w="180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7.28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sz w:val="21"/>
                <w:szCs w:val="21"/>
              </w:rPr>
            </w:pPr>
            <w:r>
              <w:rPr>
                <w:rFonts w:ascii="宋体" w:hAnsi="宋体" w:eastAsia="宋体" w:cs="宋体"/>
                <w:kern w:val="0"/>
                <w:sz w:val="21"/>
                <w:szCs w:val="21"/>
                <w:lang w:val="en-US" w:eastAsia="zh-CN" w:bidi="ar"/>
              </w:rPr>
              <w:t>按照《财政部 发展改革委 生态环境部 市场监管总局 关于调整优化节能产品 环境标志产品政府采购执行机制的通知》以及《关于印发节能产品政府采购品目清单的通知》（财库〔2019〕19号）、《关于印发环境标志产品政府采购品目清单的通知》（财库〔2019〕18号）、《市场监督局关于发布参与实施政府采购节能产品、环境标志产品认证机构名录的公告》（2019年第16号）执行。同一合同包内的节能（非强制类产品）、环境标志产品报价总金额占本合同包报价总金额20%（含20%）以下，优惠幅度： 价格评标项标准总分值4%的加分、技术评标项标准总分值4%的加分；同一合同包内的节能（非强制类产品）、环境标志产品报价总金额占本合同包报价总金额20%—50%（不含20%含50%）：优惠幅度：价格评标项标准总分值6%的加分、技术评标项标准总分值6%的加分；同一合同包内的节能（非强制类产品）、环境标志产品报价总金额占本合同包报价总金额50%（不含50%）以上，优惠幅度：价格评标项标准总分值8%的加分、技术评标项标准总分值8%的加分。 注：投标人在投标报价时必须对节能（非强制类产品）、环境标志产品单独分项报价，并于投标文件中提供属于节能（非强制类产品）、环境标志产品的证明资料（由国家确定的认证机构出具的、处于有效期之内的产品认证证书复印件。）加盖投标人公章。 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合同包内的节能、环境标志产品部分加分只对属于清单内的非强制类产品进行加分，强制类产品不给予加分。③若同一合同包内的节能、环境标志产品仅是构成投标产品的部件、组件或零件的，则不给予加分。获得上述认证的产品在投标时应提供有效证明材料）。同一品目中各认证证书不重复计算加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rPr>
          <w:rStyle w:val="9"/>
          <w:rFonts w:hint="eastAsia" w:ascii="宋体" w:hAnsi="宋体" w:eastAsia="宋体" w:cs="宋体"/>
          <w:b/>
          <w:bCs/>
          <w:spacing w:val="0"/>
          <w:sz w:val="31"/>
          <w:szCs w:val="31"/>
        </w:rPr>
      </w:pPr>
      <w:r>
        <w:rPr>
          <w:rStyle w:val="9"/>
          <w:rFonts w:hint="eastAsia" w:ascii="宋体" w:hAnsi="宋体" w:eastAsia="宋体" w:cs="宋体"/>
          <w:b/>
          <w:bCs/>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第五章</w:t>
      </w:r>
      <w:r>
        <w:rPr>
          <w:rStyle w:val="9"/>
          <w:b/>
          <w:bCs/>
          <w:spacing w:val="0"/>
          <w:sz w:val="31"/>
          <w:szCs w:val="31"/>
        </w:rPr>
        <w:t>   </w:t>
      </w:r>
      <w:r>
        <w:rPr>
          <w:rStyle w:val="9"/>
          <w:rFonts w:hint="eastAsia" w:ascii="宋体" w:hAnsi="宋体" w:eastAsia="宋体" w:cs="宋体"/>
          <w:b/>
          <w:bCs/>
          <w:spacing w:val="0"/>
          <w:sz w:val="31"/>
          <w:szCs w:val="31"/>
        </w:rPr>
        <w:t>招标内容及要求</w:t>
      </w:r>
    </w:p>
    <w:p>
      <w:pPr>
        <w:pStyle w:val="6"/>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6"/>
        <w:keepNext w:val="0"/>
        <w:keepLines w:val="0"/>
        <w:widowControl/>
        <w:suppressLineNumbers w:val="0"/>
        <w:spacing w:before="0" w:beforeAutospacing="0" w:after="150" w:afterAutospacing="0" w:line="405" w:lineRule="atLeast"/>
        <w:ind w:left="0" w:right="0" w:firstLine="420"/>
      </w:pPr>
      <w:r>
        <w:rPr>
          <w:rFonts w:hint="eastAsia" w:ascii="宋体" w:hAnsi="宋体" w:eastAsia="宋体" w:cs="宋体"/>
          <w:sz w:val="21"/>
          <w:szCs w:val="21"/>
        </w:rPr>
        <w:t>1、本项目采购15套毛坯商品住宅（产权面积约在130-145平方米/套）及15个车位 ，用于引进人才住宿用。</w:t>
      </w:r>
    </w:p>
    <w:p>
      <w:pPr>
        <w:pStyle w:val="6"/>
        <w:keepNext w:val="0"/>
        <w:keepLines w:val="0"/>
        <w:widowControl/>
        <w:suppressLineNumbers w:val="0"/>
        <w:spacing w:before="0" w:beforeAutospacing="0" w:after="150" w:afterAutospacing="0" w:line="405" w:lineRule="atLeast"/>
        <w:ind w:left="0" w:right="0" w:firstLine="420"/>
      </w:pPr>
      <w:r>
        <w:rPr>
          <w:rFonts w:hint="eastAsia" w:ascii="宋体" w:hAnsi="宋体" w:eastAsia="宋体" w:cs="宋体"/>
          <w:sz w:val="21"/>
          <w:szCs w:val="21"/>
        </w:rPr>
        <w:t>2、中标人不得转包他人，若发现转包，采购人有权终止合同，并追究相应法律责任。</w:t>
      </w:r>
    </w:p>
    <w:p>
      <w:pPr>
        <w:pStyle w:val="6"/>
        <w:keepNext w:val="0"/>
        <w:keepLines w:val="0"/>
        <w:widowControl/>
        <w:suppressLineNumbers w:val="0"/>
        <w:spacing w:before="0" w:beforeAutospacing="0" w:after="150" w:afterAutospacing="0" w:line="405" w:lineRule="atLeast"/>
        <w:ind w:left="0" w:right="0" w:firstLine="420"/>
      </w:pPr>
      <w:r>
        <w:rPr>
          <w:rFonts w:hint="eastAsia" w:ascii="宋体" w:hAnsi="宋体" w:eastAsia="宋体" w:cs="宋体"/>
          <w:sz w:val="21"/>
          <w:szCs w:val="21"/>
        </w:rPr>
        <w:t>3、本项目最高限价为1500万元，投标人报价超过每平方米平均最高限价和本项目最高限价均视为无效报价，按无效标处理。</w:t>
      </w:r>
    </w:p>
    <w:p>
      <w:pPr>
        <w:pStyle w:val="6"/>
        <w:keepNext w:val="0"/>
        <w:keepLines w:val="0"/>
        <w:widowControl/>
        <w:suppressLineNumbers w:val="0"/>
        <w:spacing w:before="0" w:beforeAutospacing="0" w:after="150" w:afterAutospacing="0" w:line="405" w:lineRule="atLeast"/>
        <w:ind w:left="0" w:right="0" w:firstLine="420"/>
      </w:pPr>
      <w:r>
        <w:rPr>
          <w:rFonts w:hint="eastAsia" w:ascii="宋体" w:hAnsi="宋体" w:eastAsia="宋体" w:cs="宋体"/>
          <w:sz w:val="21"/>
          <w:szCs w:val="21"/>
        </w:rPr>
        <w:t>4、本项目毛坯房平均最高限价是根据《泉港区人民政府办公室关于印发泉港区房地产用地出让限房价片区划定方案（2020年）的通知》（泉港政协[2020]11号）I级土地的95%计取，若投标人所投房源不在I级土地区域内，则所投平均价格不得超过《泉港区人民政府办公室关于印发泉港区房地产用地出让限房价片区划定方案（2020年）的通知》（泉港政协[2020]11号）规定房源所在土地的95%（详见附件1，请各潜在投标人自行到泉州市政府采购网首页（https://zfcg.quanzhou.gov.cn/）→政府采购项目公告→清源创新实验室引进人才周转房采购项目采购公告→清源创新实验室引进人才周转房采购项目附件→“采购文件相关附件”中下载。），否则按无效标处理。</w:t>
      </w:r>
    </w:p>
    <w:p>
      <w:pPr>
        <w:keepNext w:val="0"/>
        <w:keepLines w:val="0"/>
        <w:widowControl/>
        <w:suppressLineNumbers w:val="0"/>
        <w:jc w:val="left"/>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9"/>
          <w:rFonts w:hint="eastAsia" w:ascii="宋体" w:hAnsi="宋体" w:eastAsia="宋体" w:cs="宋体"/>
          <w:b/>
          <w:bCs/>
          <w:spacing w:val="0"/>
          <w:sz w:val="24"/>
          <w:szCs w:val="24"/>
        </w:rPr>
        <w:t>（以“★”标示的内容为不允许负偏离的实质性要求）</w:t>
      </w:r>
    </w:p>
    <w:p>
      <w:pPr>
        <w:pStyle w:val="10"/>
        <w:spacing w:line="360" w:lineRule="auto"/>
        <w:outlineLvl w:val="0"/>
        <w:rPr>
          <w:rFonts w:ascii="宋体" w:hAnsi="宋体" w:eastAsia="宋体" w:cs="宋体"/>
          <w:color w:val="auto"/>
          <w:szCs w:val="21"/>
        </w:rPr>
      </w:pPr>
      <w:r>
        <w:rPr>
          <w:rFonts w:hint="eastAsia" w:ascii="宋体" w:hAnsi="宋体" w:eastAsia="宋体" w:cs="宋体"/>
          <w:color w:val="auto"/>
          <w:szCs w:val="21"/>
        </w:rPr>
        <w:t>（一）招标货物一览表（共</w:t>
      </w:r>
      <w:r>
        <w:rPr>
          <w:rFonts w:ascii="宋体" w:hAnsi="宋体" w:eastAsia="宋体" w:cs="宋体"/>
          <w:color w:val="auto"/>
          <w:szCs w:val="21"/>
        </w:rPr>
        <w:t>6</w:t>
      </w:r>
      <w:r>
        <w:rPr>
          <w:rFonts w:hint="eastAsia" w:ascii="宋体" w:hAnsi="宋体" w:eastAsia="宋体" w:cs="宋体"/>
          <w:color w:val="auto"/>
          <w:szCs w:val="21"/>
        </w:rPr>
        <w:t>项，其中标注“</w:t>
      </w:r>
      <w:r>
        <w:rPr>
          <w:rFonts w:hint="eastAsia" w:ascii="宋体" w:hAnsi="宋体" w:eastAsia="宋体" w:cs="宋体"/>
          <w:b/>
          <w:color w:val="auto"/>
          <w:szCs w:val="21"/>
        </w:rPr>
        <w:t>★</w:t>
      </w:r>
      <w:r>
        <w:rPr>
          <w:rFonts w:hint="eastAsia" w:ascii="宋体" w:hAnsi="宋体" w:eastAsia="宋体" w:cs="宋体"/>
          <w:color w:val="auto"/>
          <w:szCs w:val="21"/>
        </w:rPr>
        <w:t>”1项，未标注的</w:t>
      </w:r>
      <w:r>
        <w:rPr>
          <w:rFonts w:ascii="宋体" w:hAnsi="宋体" w:eastAsia="宋体" w:cs="宋体"/>
          <w:color w:val="auto"/>
          <w:szCs w:val="21"/>
        </w:rPr>
        <w:t>5</w:t>
      </w:r>
      <w:r>
        <w:rPr>
          <w:rFonts w:hint="eastAsia" w:ascii="宋体" w:hAnsi="宋体" w:eastAsia="宋体" w:cs="宋体"/>
          <w:color w:val="auto"/>
          <w:szCs w:val="21"/>
        </w:rPr>
        <w:t>项。）</w:t>
      </w:r>
    </w:p>
    <w:tbl>
      <w:tblPr>
        <w:tblStyle w:val="7"/>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545"/>
        <w:gridCol w:w="1085"/>
        <w:gridCol w:w="4813"/>
        <w:gridCol w:w="962"/>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14"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auto"/>
                <w:szCs w:val="21"/>
              </w:rPr>
            </w:pPr>
            <w:r>
              <w:rPr>
                <w:rFonts w:hint="eastAsia" w:ascii="宋体" w:hAnsi="宋体" w:cs="宋体"/>
                <w:color w:val="auto"/>
                <w:szCs w:val="21"/>
              </w:rPr>
              <w:t>合同包</w:t>
            </w:r>
          </w:p>
        </w:tc>
        <w:tc>
          <w:tcPr>
            <w:tcW w:w="545"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auto"/>
                <w:szCs w:val="21"/>
              </w:rPr>
            </w:pPr>
            <w:r>
              <w:rPr>
                <w:rFonts w:hint="eastAsia" w:ascii="宋体" w:hAnsi="宋体" w:cs="宋体"/>
                <w:color w:val="auto"/>
                <w:szCs w:val="21"/>
              </w:rPr>
              <w:t>品目号</w:t>
            </w:r>
          </w:p>
        </w:tc>
        <w:tc>
          <w:tcPr>
            <w:tcW w:w="1085"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Cs w:val="21"/>
              </w:rPr>
            </w:pPr>
            <w:r>
              <w:rPr>
                <w:rFonts w:hint="eastAsia" w:ascii="宋体" w:hAnsi="宋体" w:cs="宋体"/>
                <w:color w:val="auto"/>
                <w:szCs w:val="21"/>
              </w:rPr>
              <w:t>货物</w:t>
            </w:r>
          </w:p>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auto"/>
                <w:szCs w:val="21"/>
              </w:rPr>
            </w:pPr>
            <w:r>
              <w:rPr>
                <w:rFonts w:hint="eastAsia" w:ascii="宋体" w:hAnsi="宋体" w:cs="宋体"/>
                <w:color w:val="auto"/>
                <w:szCs w:val="21"/>
              </w:rPr>
              <w:t>名</w:t>
            </w:r>
            <w:r>
              <w:rPr>
                <w:rFonts w:hint="eastAsia" w:ascii="宋体" w:hAnsi="宋体" w:cs="宋体"/>
                <w:color w:val="auto"/>
                <w:szCs w:val="21"/>
                <w:lang w:val="en-US" w:eastAsia="zh-CN"/>
              </w:rPr>
              <w:t xml:space="preserve"> </w:t>
            </w:r>
            <w:r>
              <w:rPr>
                <w:rFonts w:hint="eastAsia" w:ascii="宋体" w:hAnsi="宋体" w:cs="宋体"/>
                <w:color w:val="auto"/>
                <w:szCs w:val="21"/>
              </w:rPr>
              <w:t>称</w:t>
            </w:r>
          </w:p>
        </w:tc>
        <w:tc>
          <w:tcPr>
            <w:tcW w:w="4813"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auto"/>
                <w:szCs w:val="21"/>
              </w:rPr>
            </w:pPr>
            <w:r>
              <w:rPr>
                <w:rFonts w:hint="eastAsia" w:ascii="宋体" w:hAnsi="宋体" w:cs="宋体"/>
                <w:color w:val="auto"/>
                <w:szCs w:val="21"/>
              </w:rPr>
              <w:t>主要要求</w:t>
            </w:r>
          </w:p>
        </w:tc>
        <w:tc>
          <w:tcPr>
            <w:tcW w:w="962"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auto"/>
                <w:szCs w:val="21"/>
              </w:rPr>
            </w:pPr>
            <w:r>
              <w:rPr>
                <w:rFonts w:hint="eastAsia" w:ascii="宋体" w:hAnsi="宋体" w:cs="宋体"/>
                <w:color w:val="auto"/>
                <w:szCs w:val="21"/>
              </w:rPr>
              <w:t>数量</w:t>
            </w:r>
          </w:p>
        </w:tc>
        <w:tc>
          <w:tcPr>
            <w:tcW w:w="1227" w:type="dxa"/>
            <w:vAlign w:val="center"/>
          </w:tcPr>
          <w:p>
            <w:pPr>
              <w:pStyle w:val="1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color w:val="auto"/>
                <w:szCs w:val="21"/>
              </w:rPr>
            </w:pPr>
            <w:r>
              <w:rPr>
                <w:rFonts w:hint="eastAsia" w:ascii="宋体" w:hAnsi="宋体" w:cs="宋体"/>
                <w:color w:val="auto"/>
                <w:szCs w:val="21"/>
              </w:rPr>
              <w:t>平均最高限价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14" w:type="dxa"/>
            <w:vMerge w:val="restart"/>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1</w:t>
            </w:r>
          </w:p>
        </w:tc>
        <w:tc>
          <w:tcPr>
            <w:tcW w:w="54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1</w:t>
            </w:r>
          </w:p>
        </w:tc>
        <w:tc>
          <w:tcPr>
            <w:tcW w:w="108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毛坯房</w:t>
            </w:r>
          </w:p>
        </w:tc>
        <w:tc>
          <w:tcPr>
            <w:tcW w:w="4813" w:type="dxa"/>
            <w:vAlign w:val="center"/>
          </w:tcPr>
          <w:p>
            <w:pPr>
              <w:pStyle w:val="12"/>
              <w:rPr>
                <w:rFonts w:hint="eastAsia" w:ascii="宋体" w:hAnsi="宋体" w:eastAsia="宋体" w:cs="宋体"/>
                <w:color w:val="auto"/>
                <w:spacing w:val="5"/>
                <w:szCs w:val="21"/>
                <w:lang w:eastAsia="zh-CN"/>
              </w:rPr>
            </w:pPr>
            <w:r>
              <w:rPr>
                <w:rFonts w:hint="eastAsia" w:ascii="宋体" w:hAnsi="宋体" w:eastAsia="宋体" w:cs="宋体"/>
                <w:b/>
                <w:color w:val="auto"/>
                <w:szCs w:val="21"/>
              </w:rPr>
              <w:t>★</w:t>
            </w:r>
            <w:r>
              <w:rPr>
                <w:rFonts w:hint="eastAsia" w:ascii="宋体" w:hAnsi="宋体" w:cs="宋体"/>
                <w:b/>
                <w:color w:val="auto"/>
                <w:szCs w:val="21"/>
              </w:rPr>
              <w:t>（1）</w:t>
            </w:r>
            <w:r>
              <w:rPr>
                <w:rFonts w:hint="eastAsia" w:ascii="宋体" w:hAnsi="宋体" w:eastAsia="宋体" w:cs="宋体"/>
                <w:color w:val="auto"/>
                <w:spacing w:val="5"/>
                <w:szCs w:val="21"/>
              </w:rPr>
              <w:t>现房，且楼盘位于采购单位所在主城区域内，距离≤</w:t>
            </w:r>
            <w:r>
              <w:rPr>
                <w:rFonts w:hint="eastAsia" w:ascii="宋体" w:hAnsi="宋体" w:eastAsia="宋体" w:cs="宋体"/>
                <w:color w:val="0000FF"/>
                <w:spacing w:val="5"/>
                <w:szCs w:val="21"/>
                <w:lang w:val="en-US" w:eastAsia="zh-CN"/>
              </w:rPr>
              <w:t>11</w:t>
            </w:r>
            <w:r>
              <w:rPr>
                <w:rFonts w:hint="eastAsia" w:ascii="宋体" w:hAnsi="宋体" w:eastAsia="宋体" w:cs="宋体"/>
                <w:color w:val="auto"/>
                <w:spacing w:val="5"/>
                <w:szCs w:val="21"/>
              </w:rPr>
              <w:t>公里（以高德地图截图为准，起点为</w:t>
            </w:r>
            <w:r>
              <w:rPr>
                <w:rFonts w:hint="eastAsia" w:ascii="宋体" w:hAnsi="宋体" w:eastAsia="宋体" w:cs="宋体"/>
                <w:color w:val="0000FF"/>
                <w:spacing w:val="5"/>
                <w:szCs w:val="21"/>
              </w:rPr>
              <w:t>福州大学石油化工学院泉港校区（南门）</w:t>
            </w:r>
            <w:r>
              <w:rPr>
                <w:rFonts w:hint="eastAsia" w:ascii="宋体" w:hAnsi="宋体" w:eastAsia="宋体" w:cs="宋体"/>
                <w:color w:val="0000FF"/>
                <w:spacing w:val="5"/>
                <w:szCs w:val="21"/>
                <w:lang w:eastAsia="zh-CN"/>
              </w:rPr>
              <w:t>或</w:t>
            </w:r>
            <w:r>
              <w:rPr>
                <w:rFonts w:hint="eastAsia" w:ascii="宋体" w:hAnsi="宋体" w:eastAsia="宋体" w:cs="宋体"/>
                <w:color w:val="0000FF"/>
                <w:spacing w:val="5"/>
                <w:szCs w:val="21"/>
              </w:rPr>
              <w:t>所投楼盘，终点为所投楼盘</w:t>
            </w:r>
            <w:r>
              <w:rPr>
                <w:rFonts w:hint="eastAsia" w:ascii="宋体" w:hAnsi="宋体" w:eastAsia="宋体" w:cs="宋体"/>
                <w:color w:val="0000FF"/>
                <w:spacing w:val="5"/>
                <w:szCs w:val="21"/>
                <w:lang w:eastAsia="zh-CN"/>
              </w:rPr>
              <w:t>或</w:t>
            </w:r>
            <w:r>
              <w:rPr>
                <w:rFonts w:hint="eastAsia" w:ascii="宋体" w:hAnsi="宋体" w:eastAsia="宋体" w:cs="宋体"/>
                <w:color w:val="0000FF"/>
                <w:spacing w:val="5"/>
                <w:szCs w:val="21"/>
              </w:rPr>
              <w:t>福州大学石油化工学院泉港校区（南门）</w:t>
            </w:r>
            <w:r>
              <w:rPr>
                <w:rFonts w:hint="eastAsia" w:ascii="宋体" w:hAnsi="宋体" w:eastAsia="宋体" w:cs="宋体"/>
                <w:color w:val="auto"/>
                <w:spacing w:val="5"/>
                <w:szCs w:val="21"/>
              </w:rPr>
              <w:t>）</w:t>
            </w:r>
            <w:r>
              <w:rPr>
                <w:rFonts w:hint="eastAsia" w:ascii="宋体" w:hAnsi="宋体" w:eastAsia="宋体" w:cs="宋体"/>
                <w:color w:val="auto"/>
                <w:spacing w:val="5"/>
                <w:szCs w:val="21"/>
                <w:lang w:eastAsia="zh-CN"/>
              </w:rPr>
              <w:t>。</w:t>
            </w:r>
          </w:p>
          <w:p>
            <w:pPr>
              <w:pStyle w:val="12"/>
              <w:rPr>
                <w:rFonts w:hint="eastAsia" w:ascii="宋体" w:hAnsi="宋体" w:eastAsia="宋体" w:cs="宋体"/>
                <w:color w:val="auto"/>
                <w:spacing w:val="5"/>
                <w:szCs w:val="21"/>
                <w:lang w:eastAsia="zh-CN"/>
              </w:rPr>
            </w:pPr>
            <w:r>
              <w:rPr>
                <w:rFonts w:hint="eastAsia" w:ascii="宋体" w:hAnsi="宋体" w:eastAsia="宋体" w:cs="宋体"/>
                <w:color w:val="auto"/>
                <w:spacing w:val="5"/>
                <w:szCs w:val="21"/>
              </w:rPr>
              <w:t>（2）具有便利交通、周围环境优美、优质教育资源</w:t>
            </w:r>
            <w:r>
              <w:rPr>
                <w:rFonts w:hint="eastAsia" w:ascii="宋体" w:hAnsi="宋体" w:eastAsia="宋体" w:cs="宋体"/>
                <w:color w:val="auto"/>
                <w:spacing w:val="5"/>
                <w:szCs w:val="21"/>
                <w:lang w:eastAsia="zh-CN"/>
              </w:rPr>
              <w:t>。</w:t>
            </w:r>
          </w:p>
          <w:p>
            <w:pPr>
              <w:pStyle w:val="12"/>
              <w:spacing w:line="360" w:lineRule="exact"/>
              <w:jc w:val="left"/>
              <w:rPr>
                <w:rFonts w:ascii="宋体" w:hAnsi="宋体" w:cs="宋体"/>
                <w:color w:val="auto"/>
                <w:spacing w:val="5"/>
                <w:szCs w:val="21"/>
              </w:rPr>
            </w:pPr>
            <w:r>
              <w:rPr>
                <w:rFonts w:hint="eastAsia" w:ascii="宋体" w:hAnsi="宋体" w:cs="宋体"/>
                <w:color w:val="auto"/>
                <w:spacing w:val="5"/>
                <w:szCs w:val="21"/>
              </w:rPr>
              <w:t>（3）单套产权面积约在130-145平方米区间不少于3房，户型方正且采光视野良好。</w:t>
            </w:r>
          </w:p>
          <w:p>
            <w:pPr>
              <w:pStyle w:val="12"/>
              <w:spacing w:line="360" w:lineRule="exact"/>
              <w:jc w:val="left"/>
              <w:rPr>
                <w:rFonts w:ascii="宋体" w:hAnsi="宋体" w:cs="宋体"/>
                <w:color w:val="auto"/>
                <w:spacing w:val="5"/>
                <w:szCs w:val="21"/>
              </w:rPr>
            </w:pPr>
            <w:r>
              <w:rPr>
                <w:rFonts w:hint="eastAsia" w:ascii="宋体" w:hAnsi="宋体" w:cs="宋体"/>
                <w:color w:val="auto"/>
                <w:spacing w:val="5"/>
                <w:szCs w:val="21"/>
              </w:rPr>
              <w:t>（4）小区内应有规范物业管理 ，且配置一定比例的车位 。</w:t>
            </w:r>
          </w:p>
        </w:tc>
        <w:tc>
          <w:tcPr>
            <w:tcW w:w="962" w:type="dxa"/>
            <w:vAlign w:val="center"/>
          </w:tcPr>
          <w:p>
            <w:pPr>
              <w:pStyle w:val="12"/>
              <w:spacing w:line="360" w:lineRule="auto"/>
              <w:jc w:val="left"/>
              <w:rPr>
                <w:rFonts w:ascii="宋体" w:hAnsi="宋体" w:cs="宋体"/>
                <w:color w:val="auto"/>
                <w:spacing w:val="5"/>
                <w:szCs w:val="21"/>
              </w:rPr>
            </w:pPr>
            <w:r>
              <w:rPr>
                <w:rFonts w:hint="eastAsia" w:ascii="宋体" w:hAnsi="宋体" w:cs="宋体"/>
                <w:color w:val="auto"/>
                <w:spacing w:val="5"/>
                <w:szCs w:val="21"/>
              </w:rPr>
              <w:t>15（套）</w:t>
            </w:r>
          </w:p>
        </w:tc>
        <w:tc>
          <w:tcPr>
            <w:tcW w:w="1227" w:type="dxa"/>
            <w:vAlign w:val="center"/>
          </w:tcPr>
          <w:p>
            <w:pPr>
              <w:pStyle w:val="12"/>
              <w:spacing w:line="360" w:lineRule="auto"/>
              <w:jc w:val="center"/>
              <w:rPr>
                <w:rFonts w:ascii="宋体" w:hAnsi="宋体" w:eastAsia="宋体" w:cs="宋体"/>
                <w:color w:val="auto"/>
                <w:spacing w:val="5"/>
                <w:szCs w:val="21"/>
              </w:rPr>
            </w:pPr>
            <w:r>
              <w:rPr>
                <w:rFonts w:hint="eastAsia" w:ascii="宋体" w:hAnsi="宋体" w:cs="宋体"/>
                <w:color w:val="auto"/>
                <w:spacing w:val="5"/>
                <w:szCs w:val="21"/>
              </w:rPr>
              <w:t>6500（</w:t>
            </w:r>
            <w:r>
              <w:rPr>
                <w:rFonts w:hint="eastAsia" w:ascii="宋体" w:hAnsi="宋体" w:cs="宋体"/>
                <w:color w:val="auto"/>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Merge w:val="continue"/>
            <w:vAlign w:val="center"/>
          </w:tcPr>
          <w:p>
            <w:pPr>
              <w:pStyle w:val="12"/>
              <w:spacing w:line="360" w:lineRule="auto"/>
              <w:jc w:val="center"/>
              <w:rPr>
                <w:rFonts w:ascii="宋体" w:hAnsi="宋体" w:cs="宋体"/>
                <w:color w:val="auto"/>
                <w:szCs w:val="21"/>
              </w:rPr>
            </w:pPr>
          </w:p>
        </w:tc>
        <w:tc>
          <w:tcPr>
            <w:tcW w:w="545" w:type="dxa"/>
            <w:vAlign w:val="center"/>
          </w:tcPr>
          <w:p>
            <w:pPr>
              <w:pStyle w:val="12"/>
              <w:spacing w:line="360" w:lineRule="auto"/>
              <w:jc w:val="center"/>
              <w:rPr>
                <w:rFonts w:ascii="宋体" w:hAnsi="宋体" w:eastAsia="宋体" w:cs="宋体"/>
                <w:color w:val="auto"/>
                <w:szCs w:val="21"/>
              </w:rPr>
            </w:pPr>
            <w:r>
              <w:rPr>
                <w:rFonts w:hint="eastAsia" w:ascii="宋体" w:hAnsi="宋体" w:cs="宋体"/>
                <w:color w:val="auto"/>
                <w:szCs w:val="21"/>
              </w:rPr>
              <w:t>2</w:t>
            </w:r>
          </w:p>
        </w:tc>
        <w:tc>
          <w:tcPr>
            <w:tcW w:w="108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地下停车位</w:t>
            </w:r>
          </w:p>
        </w:tc>
        <w:tc>
          <w:tcPr>
            <w:tcW w:w="4813" w:type="dxa"/>
            <w:vAlign w:val="center"/>
          </w:tcPr>
          <w:p>
            <w:pPr>
              <w:pStyle w:val="12"/>
              <w:spacing w:line="360" w:lineRule="auto"/>
              <w:jc w:val="left"/>
              <w:rPr>
                <w:rFonts w:ascii="宋体" w:hAnsi="宋体" w:cs="宋体"/>
                <w:color w:val="auto"/>
                <w:spacing w:val="5"/>
                <w:szCs w:val="21"/>
              </w:rPr>
            </w:pPr>
            <w:r>
              <w:rPr>
                <w:rFonts w:hint="eastAsia" w:ascii="宋体" w:hAnsi="宋体" w:cs="宋体"/>
                <w:color w:val="auto"/>
                <w:spacing w:val="5"/>
                <w:szCs w:val="21"/>
              </w:rPr>
              <w:t>（1）有产权的车位；</w:t>
            </w:r>
          </w:p>
          <w:p>
            <w:pPr>
              <w:pStyle w:val="12"/>
              <w:spacing w:line="360" w:lineRule="auto"/>
              <w:jc w:val="left"/>
              <w:rPr>
                <w:rFonts w:ascii="宋体" w:hAnsi="宋体" w:eastAsia="宋体" w:cs="宋体"/>
                <w:color w:val="auto"/>
                <w:spacing w:val="5"/>
                <w:szCs w:val="21"/>
              </w:rPr>
            </w:pPr>
            <w:r>
              <w:rPr>
                <w:rFonts w:hint="eastAsia" w:ascii="宋体" w:hAnsi="宋体" w:cs="宋体"/>
                <w:color w:val="auto"/>
                <w:spacing w:val="5"/>
                <w:szCs w:val="21"/>
              </w:rPr>
              <w:t>（2）每个车位面积不少于12.7平方米。</w:t>
            </w:r>
          </w:p>
        </w:tc>
        <w:tc>
          <w:tcPr>
            <w:tcW w:w="962" w:type="dxa"/>
            <w:vAlign w:val="center"/>
          </w:tcPr>
          <w:p>
            <w:pPr>
              <w:pStyle w:val="12"/>
              <w:spacing w:line="360" w:lineRule="auto"/>
              <w:jc w:val="left"/>
              <w:rPr>
                <w:rFonts w:ascii="宋体" w:hAnsi="宋体" w:cs="宋体"/>
                <w:color w:val="auto"/>
                <w:spacing w:val="5"/>
                <w:szCs w:val="21"/>
              </w:rPr>
            </w:pPr>
            <w:r>
              <w:rPr>
                <w:rFonts w:hint="eastAsia" w:ascii="宋体" w:hAnsi="宋体" w:cs="宋体"/>
                <w:color w:val="auto"/>
                <w:spacing w:val="5"/>
                <w:szCs w:val="21"/>
              </w:rPr>
              <w:t>15（个）</w:t>
            </w:r>
          </w:p>
        </w:tc>
        <w:tc>
          <w:tcPr>
            <w:tcW w:w="1227" w:type="dxa"/>
            <w:vAlign w:val="center"/>
          </w:tcPr>
          <w:p>
            <w:pPr>
              <w:pStyle w:val="12"/>
              <w:spacing w:line="360" w:lineRule="auto"/>
              <w:jc w:val="center"/>
              <w:rPr>
                <w:rFonts w:ascii="宋体" w:hAnsi="宋体" w:eastAsia="宋体" w:cs="宋体"/>
                <w:color w:val="auto"/>
                <w:spacing w:val="5"/>
                <w:szCs w:val="21"/>
              </w:rPr>
            </w:pPr>
            <w:r>
              <w:rPr>
                <w:rFonts w:ascii="宋体" w:hAnsi="宋体" w:cs="宋体"/>
                <w:color w:val="auto"/>
                <w:spacing w:val="5"/>
                <w:szCs w:val="21"/>
              </w:rPr>
              <w:t>1</w:t>
            </w:r>
            <w:r>
              <w:rPr>
                <w:rFonts w:hint="eastAsia" w:ascii="宋体" w:hAnsi="宋体" w:cs="宋体"/>
                <w:color w:val="auto"/>
                <w:spacing w:val="5"/>
                <w:szCs w:val="21"/>
              </w:rPr>
              <w:t>2</w:t>
            </w:r>
            <w:r>
              <w:rPr>
                <w:rFonts w:hint="eastAsia" w:ascii="宋体" w:hAnsi="宋体" w:cs="宋体"/>
                <w:color w:val="auto"/>
                <w:spacing w:val="5"/>
                <w:szCs w:val="21"/>
                <w:lang w:val="en-US" w:eastAsia="zh-CN"/>
              </w:rPr>
              <w:t>.7</w:t>
            </w:r>
            <w:r>
              <w:rPr>
                <w:rFonts w:hint="eastAsia" w:ascii="宋体" w:hAnsi="宋体" w:cs="宋体"/>
                <w:color w:val="auto"/>
                <w:spacing w:val="5"/>
                <w:szCs w:val="21"/>
              </w:rPr>
              <w:t>（</w:t>
            </w:r>
            <w:r>
              <w:rPr>
                <w:rFonts w:hint="eastAsia" w:ascii="宋体" w:hAnsi="宋体" w:cs="宋体"/>
                <w:color w:val="auto"/>
                <w:spacing w:val="5"/>
                <w:szCs w:val="21"/>
                <w:lang w:eastAsia="zh-CN"/>
              </w:rPr>
              <w:t>万</w:t>
            </w:r>
            <w:r>
              <w:rPr>
                <w:rFonts w:hint="eastAsia" w:ascii="宋体" w:hAnsi="宋体" w:cs="宋体"/>
                <w:color w:val="auto"/>
                <w:szCs w:val="21"/>
              </w:rPr>
              <w:t>元/个）</w:t>
            </w:r>
          </w:p>
        </w:tc>
      </w:tr>
    </w:tbl>
    <w:p>
      <w:pPr>
        <w:pStyle w:val="12"/>
        <w:spacing w:line="360" w:lineRule="auto"/>
        <w:rPr>
          <w:rFonts w:ascii="宋体" w:hAnsi="宋体" w:cs="宋体"/>
          <w:color w:val="auto"/>
          <w:szCs w:val="21"/>
        </w:rPr>
      </w:pP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注：（1）投标人应按合同包投标，对同一合同包内所有品目号的内容必须进行完整报价。评标与授标以合同包为单位。</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（2）交付时间：</w:t>
      </w:r>
      <w:r>
        <w:rPr>
          <w:rFonts w:hint="eastAsia" w:ascii="宋体" w:hAnsi="宋体" w:eastAsia="宋体" w:cs="宋体"/>
          <w:color w:val="FF0000"/>
          <w:szCs w:val="21"/>
          <w:lang w:eastAsia="zh-CN"/>
        </w:rPr>
        <w:t>合同签订后</w:t>
      </w:r>
      <w:r>
        <w:rPr>
          <w:rFonts w:hint="eastAsia" w:ascii="宋体" w:hAnsi="宋体" w:eastAsia="宋体" w:cs="宋体"/>
          <w:color w:val="FF0000"/>
          <w:szCs w:val="21"/>
          <w:lang w:val="en-US" w:eastAsia="zh-CN"/>
        </w:rPr>
        <w:t>60天内交货</w:t>
      </w:r>
      <w:r>
        <w:rPr>
          <w:rFonts w:hint="eastAsia" w:ascii="宋体" w:hAnsi="宋体" w:eastAsia="宋体" w:cs="宋体"/>
          <w:color w:val="auto"/>
          <w:szCs w:val="21"/>
        </w:rPr>
        <w:t>。</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（3）投标报价包括但不限于毛坯房价格、地下停车位价、中标服务费等为完成本项目所需的全部费用。</w:t>
      </w:r>
    </w:p>
    <w:p>
      <w:pPr>
        <w:snapToGrid w:val="0"/>
        <w:spacing w:line="360" w:lineRule="auto"/>
        <w:ind w:firstLine="420" w:firstLineChars="200"/>
        <w:rPr>
          <w:color w:val="auto"/>
        </w:rPr>
      </w:pPr>
      <w:r>
        <w:rPr>
          <w:rFonts w:hint="eastAsia" w:ascii="宋体" w:hAnsi="宋体" w:eastAsia="宋体" w:cs="宋体"/>
          <w:color w:val="auto"/>
          <w:szCs w:val="21"/>
        </w:rPr>
        <w:t>（4）政府采购合同履行过程中，采购人若需追加或减少与合同标的相同的货物或服务，则追加或减少采购金额不得超过原合同采购金额的10%。</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（5）本项目采用总价合同，以人民币为结算单位。</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（6）本招标文件第七章 “投标文件（报价部分）”中“投标分项报价表”为系统自动生成，不适用于本项目，投标人须根据下表的内容进行报价，未按要求报价的被视为无效报价。</w:t>
      </w:r>
    </w:p>
    <w:tbl>
      <w:tblPr>
        <w:tblStyle w:val="7"/>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545"/>
        <w:gridCol w:w="1085"/>
        <w:gridCol w:w="1357"/>
        <w:gridCol w:w="1525"/>
        <w:gridCol w:w="1513"/>
        <w:gridCol w:w="141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14"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类别</w:t>
            </w:r>
          </w:p>
        </w:tc>
        <w:tc>
          <w:tcPr>
            <w:tcW w:w="545"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序号</w:t>
            </w:r>
          </w:p>
        </w:tc>
        <w:tc>
          <w:tcPr>
            <w:tcW w:w="1085"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房号</w:t>
            </w:r>
          </w:p>
        </w:tc>
        <w:tc>
          <w:tcPr>
            <w:tcW w:w="1357"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房屋性质</w:t>
            </w:r>
          </w:p>
        </w:tc>
        <w:tc>
          <w:tcPr>
            <w:tcW w:w="1525"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pacing w:val="5"/>
                <w:szCs w:val="21"/>
              </w:rPr>
              <w:t>产权面积</w:t>
            </w:r>
            <w:r>
              <w:rPr>
                <w:rFonts w:hint="eastAsia" w:ascii="宋体" w:hAnsi="宋体" w:cs="宋体"/>
                <w:color w:val="auto"/>
                <w:szCs w:val="21"/>
              </w:rPr>
              <w:t>（㎡）</w:t>
            </w:r>
          </w:p>
        </w:tc>
        <w:tc>
          <w:tcPr>
            <w:tcW w:w="1513"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总价（万元）</w:t>
            </w:r>
          </w:p>
        </w:tc>
        <w:tc>
          <w:tcPr>
            <w:tcW w:w="1412" w:type="dxa"/>
            <w:vAlign w:val="center"/>
          </w:tcPr>
          <w:p>
            <w:pPr>
              <w:pStyle w:val="12"/>
              <w:spacing w:line="300" w:lineRule="atLeast"/>
              <w:jc w:val="center"/>
              <w:rPr>
                <w:rFonts w:ascii="宋体" w:hAnsi="宋体" w:cs="宋体"/>
                <w:color w:val="auto"/>
                <w:szCs w:val="21"/>
              </w:rPr>
            </w:pPr>
            <w:r>
              <w:rPr>
                <w:rFonts w:hint="eastAsia" w:ascii="宋体" w:hAnsi="宋体" w:cs="宋体"/>
                <w:color w:val="auto"/>
                <w:szCs w:val="21"/>
              </w:rPr>
              <w:t>平均单价</w:t>
            </w:r>
          </w:p>
          <w:p>
            <w:pPr>
              <w:pStyle w:val="12"/>
              <w:spacing w:line="300" w:lineRule="atLeast"/>
              <w:jc w:val="center"/>
              <w:rPr>
                <w:rFonts w:ascii="宋体" w:hAnsi="宋体" w:cs="宋体"/>
                <w:color w:val="auto"/>
                <w:szCs w:val="21"/>
              </w:rPr>
            </w:pPr>
            <w:r>
              <w:rPr>
                <w:rFonts w:hint="eastAsia" w:ascii="宋体" w:hAnsi="宋体" w:cs="宋体"/>
                <w:color w:val="auto"/>
                <w:szCs w:val="21"/>
              </w:rPr>
              <w:t>（元/㎡)</w:t>
            </w:r>
          </w:p>
        </w:tc>
        <w:tc>
          <w:tcPr>
            <w:tcW w:w="1195"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4" w:type="dxa"/>
            <w:vMerge w:val="restart"/>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毛坯房</w:t>
            </w:r>
          </w:p>
        </w:tc>
        <w:tc>
          <w:tcPr>
            <w:tcW w:w="54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1</w:t>
            </w:r>
          </w:p>
        </w:tc>
        <w:tc>
          <w:tcPr>
            <w:tcW w:w="1085" w:type="dxa"/>
            <w:vAlign w:val="center"/>
          </w:tcPr>
          <w:p>
            <w:pPr>
              <w:pStyle w:val="12"/>
              <w:spacing w:line="360" w:lineRule="auto"/>
              <w:rPr>
                <w:rFonts w:ascii="宋体" w:hAnsi="宋体" w:eastAsia="宋体" w:cs="宋体"/>
                <w:color w:val="auto"/>
                <w:szCs w:val="21"/>
              </w:rPr>
            </w:pPr>
          </w:p>
        </w:tc>
        <w:tc>
          <w:tcPr>
            <w:tcW w:w="1357" w:type="dxa"/>
            <w:vAlign w:val="center"/>
          </w:tcPr>
          <w:p>
            <w:pPr>
              <w:pStyle w:val="12"/>
              <w:spacing w:line="360" w:lineRule="auto"/>
              <w:jc w:val="center"/>
              <w:rPr>
                <w:rFonts w:ascii="宋体" w:hAnsi="宋体" w:cs="宋体"/>
                <w:color w:val="auto"/>
                <w:szCs w:val="21"/>
              </w:rPr>
            </w:pPr>
          </w:p>
        </w:tc>
        <w:tc>
          <w:tcPr>
            <w:tcW w:w="1525" w:type="dxa"/>
            <w:vAlign w:val="center"/>
          </w:tcPr>
          <w:p>
            <w:pPr>
              <w:pStyle w:val="12"/>
              <w:spacing w:line="360" w:lineRule="auto"/>
              <w:jc w:val="center"/>
              <w:rPr>
                <w:rFonts w:ascii="宋体" w:hAnsi="宋体" w:cs="宋体"/>
                <w:color w:val="auto"/>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Merge w:val="restart"/>
            <w:vAlign w:val="center"/>
          </w:tcPr>
          <w:p>
            <w:pPr>
              <w:pStyle w:val="12"/>
              <w:spacing w:line="360" w:lineRule="auto"/>
              <w:jc w:val="center"/>
              <w:rPr>
                <w:rFonts w:ascii="宋体" w:hAnsi="宋体" w:cs="宋体"/>
                <w:color w:val="auto"/>
                <w:szCs w:val="21"/>
              </w:rPr>
            </w:pPr>
          </w:p>
        </w:tc>
        <w:tc>
          <w:tcPr>
            <w:tcW w:w="1195" w:type="dxa"/>
            <w:vAlign w:val="center"/>
          </w:tcPr>
          <w:p>
            <w:pPr>
              <w:pStyle w:val="12"/>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4" w:type="dxa"/>
            <w:vMerge w:val="continue"/>
            <w:vAlign w:val="center"/>
          </w:tcPr>
          <w:p>
            <w:pPr>
              <w:pStyle w:val="12"/>
              <w:spacing w:line="360" w:lineRule="auto"/>
              <w:jc w:val="center"/>
              <w:rPr>
                <w:rFonts w:ascii="宋体" w:hAnsi="宋体" w:cs="宋体"/>
                <w:color w:val="auto"/>
                <w:szCs w:val="21"/>
              </w:rPr>
            </w:pPr>
          </w:p>
        </w:tc>
        <w:tc>
          <w:tcPr>
            <w:tcW w:w="54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2</w:t>
            </w:r>
          </w:p>
        </w:tc>
        <w:tc>
          <w:tcPr>
            <w:tcW w:w="1085" w:type="dxa"/>
            <w:vAlign w:val="center"/>
          </w:tcPr>
          <w:p>
            <w:pPr>
              <w:pStyle w:val="12"/>
              <w:spacing w:line="360" w:lineRule="auto"/>
              <w:rPr>
                <w:rFonts w:ascii="宋体" w:hAnsi="宋体" w:eastAsia="宋体" w:cs="宋体"/>
                <w:color w:val="auto"/>
                <w:szCs w:val="21"/>
              </w:rPr>
            </w:pPr>
          </w:p>
        </w:tc>
        <w:tc>
          <w:tcPr>
            <w:tcW w:w="1357" w:type="dxa"/>
            <w:vAlign w:val="center"/>
          </w:tcPr>
          <w:p>
            <w:pPr>
              <w:pStyle w:val="12"/>
              <w:spacing w:line="360" w:lineRule="auto"/>
              <w:jc w:val="center"/>
              <w:rPr>
                <w:rFonts w:ascii="宋体" w:hAnsi="宋体" w:cs="宋体"/>
                <w:color w:val="auto"/>
                <w:szCs w:val="21"/>
              </w:rPr>
            </w:pPr>
          </w:p>
        </w:tc>
        <w:tc>
          <w:tcPr>
            <w:tcW w:w="1525" w:type="dxa"/>
            <w:vAlign w:val="center"/>
          </w:tcPr>
          <w:p>
            <w:pPr>
              <w:pStyle w:val="12"/>
              <w:spacing w:line="360" w:lineRule="auto"/>
              <w:jc w:val="center"/>
              <w:rPr>
                <w:rFonts w:ascii="宋体" w:hAnsi="宋体" w:cs="宋体"/>
                <w:color w:val="auto"/>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Merge w:val="continue"/>
            <w:vAlign w:val="center"/>
          </w:tcPr>
          <w:p>
            <w:pPr>
              <w:pStyle w:val="12"/>
              <w:spacing w:line="360" w:lineRule="auto"/>
              <w:jc w:val="center"/>
              <w:rPr>
                <w:rFonts w:ascii="宋体" w:hAnsi="宋体" w:cs="宋体"/>
                <w:color w:val="auto"/>
                <w:szCs w:val="21"/>
              </w:rPr>
            </w:pPr>
          </w:p>
        </w:tc>
        <w:tc>
          <w:tcPr>
            <w:tcW w:w="1195" w:type="dxa"/>
            <w:vAlign w:val="center"/>
          </w:tcPr>
          <w:p>
            <w:pPr>
              <w:pStyle w:val="12"/>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4" w:type="dxa"/>
            <w:vMerge w:val="continue"/>
            <w:vAlign w:val="center"/>
          </w:tcPr>
          <w:p>
            <w:pPr>
              <w:pStyle w:val="12"/>
              <w:spacing w:line="360" w:lineRule="auto"/>
              <w:jc w:val="center"/>
              <w:rPr>
                <w:rFonts w:ascii="宋体" w:hAnsi="宋体" w:cs="宋体"/>
                <w:color w:val="auto"/>
                <w:szCs w:val="21"/>
              </w:rPr>
            </w:pPr>
          </w:p>
        </w:tc>
        <w:tc>
          <w:tcPr>
            <w:tcW w:w="54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3</w:t>
            </w:r>
          </w:p>
        </w:tc>
        <w:tc>
          <w:tcPr>
            <w:tcW w:w="1085" w:type="dxa"/>
            <w:vAlign w:val="center"/>
          </w:tcPr>
          <w:p>
            <w:pPr>
              <w:pStyle w:val="12"/>
              <w:spacing w:line="360" w:lineRule="auto"/>
              <w:rPr>
                <w:rFonts w:ascii="宋体" w:hAnsi="宋体" w:eastAsia="宋体" w:cs="宋体"/>
                <w:color w:val="auto"/>
                <w:szCs w:val="21"/>
              </w:rPr>
            </w:pPr>
          </w:p>
        </w:tc>
        <w:tc>
          <w:tcPr>
            <w:tcW w:w="1357" w:type="dxa"/>
            <w:vAlign w:val="center"/>
          </w:tcPr>
          <w:p>
            <w:pPr>
              <w:pStyle w:val="12"/>
              <w:spacing w:line="360" w:lineRule="auto"/>
              <w:jc w:val="center"/>
              <w:rPr>
                <w:rFonts w:ascii="宋体" w:hAnsi="宋体" w:cs="宋体"/>
                <w:color w:val="auto"/>
                <w:szCs w:val="21"/>
              </w:rPr>
            </w:pPr>
          </w:p>
        </w:tc>
        <w:tc>
          <w:tcPr>
            <w:tcW w:w="1525" w:type="dxa"/>
            <w:vAlign w:val="center"/>
          </w:tcPr>
          <w:p>
            <w:pPr>
              <w:pStyle w:val="12"/>
              <w:spacing w:line="360" w:lineRule="auto"/>
              <w:jc w:val="center"/>
              <w:rPr>
                <w:rFonts w:ascii="宋体" w:hAnsi="宋体" w:cs="宋体"/>
                <w:color w:val="auto"/>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Merge w:val="continue"/>
            <w:vAlign w:val="center"/>
          </w:tcPr>
          <w:p>
            <w:pPr>
              <w:pStyle w:val="12"/>
              <w:spacing w:line="360" w:lineRule="auto"/>
              <w:jc w:val="center"/>
              <w:rPr>
                <w:rFonts w:ascii="宋体" w:hAnsi="宋体" w:cs="宋体"/>
                <w:color w:val="auto"/>
                <w:szCs w:val="21"/>
              </w:rPr>
            </w:pPr>
          </w:p>
        </w:tc>
        <w:tc>
          <w:tcPr>
            <w:tcW w:w="1195" w:type="dxa"/>
            <w:vAlign w:val="center"/>
          </w:tcPr>
          <w:p>
            <w:pPr>
              <w:pStyle w:val="12"/>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4" w:type="dxa"/>
            <w:vMerge w:val="continue"/>
            <w:vAlign w:val="center"/>
          </w:tcPr>
          <w:p>
            <w:pPr>
              <w:pStyle w:val="12"/>
              <w:spacing w:line="360" w:lineRule="auto"/>
              <w:jc w:val="center"/>
              <w:rPr>
                <w:rFonts w:ascii="宋体" w:hAnsi="宋体" w:cs="宋体"/>
                <w:color w:val="auto"/>
                <w:szCs w:val="21"/>
              </w:rPr>
            </w:pPr>
          </w:p>
        </w:tc>
        <w:tc>
          <w:tcPr>
            <w:tcW w:w="545" w:type="dxa"/>
            <w:vAlign w:val="center"/>
          </w:tcPr>
          <w:p>
            <w:pPr>
              <w:pStyle w:val="12"/>
              <w:spacing w:line="300" w:lineRule="exact"/>
              <w:jc w:val="center"/>
              <w:rPr>
                <w:rFonts w:ascii="宋体" w:hAnsi="宋体" w:cs="宋体"/>
                <w:color w:val="auto"/>
                <w:szCs w:val="21"/>
              </w:rPr>
            </w:pPr>
            <w:r>
              <w:rPr>
                <w:rFonts w:hint="eastAsia" w:ascii="宋体" w:hAnsi="宋体" w:cs="宋体"/>
                <w:color w:val="auto"/>
                <w:szCs w:val="21"/>
              </w:rPr>
              <w:t>……</w:t>
            </w:r>
          </w:p>
        </w:tc>
        <w:tc>
          <w:tcPr>
            <w:tcW w:w="1085" w:type="dxa"/>
            <w:vAlign w:val="center"/>
          </w:tcPr>
          <w:p>
            <w:pPr>
              <w:pStyle w:val="12"/>
              <w:spacing w:line="360" w:lineRule="auto"/>
              <w:rPr>
                <w:rFonts w:ascii="宋体" w:hAnsi="宋体" w:eastAsia="宋体" w:cs="宋体"/>
                <w:color w:val="auto"/>
                <w:szCs w:val="21"/>
              </w:rPr>
            </w:pPr>
          </w:p>
        </w:tc>
        <w:tc>
          <w:tcPr>
            <w:tcW w:w="1357" w:type="dxa"/>
            <w:vAlign w:val="center"/>
          </w:tcPr>
          <w:p>
            <w:pPr>
              <w:pStyle w:val="12"/>
              <w:spacing w:line="360" w:lineRule="auto"/>
              <w:jc w:val="center"/>
              <w:rPr>
                <w:rFonts w:ascii="宋体" w:hAnsi="宋体" w:cs="宋体"/>
                <w:color w:val="auto"/>
                <w:szCs w:val="21"/>
              </w:rPr>
            </w:pPr>
          </w:p>
        </w:tc>
        <w:tc>
          <w:tcPr>
            <w:tcW w:w="1525" w:type="dxa"/>
            <w:vAlign w:val="center"/>
          </w:tcPr>
          <w:p>
            <w:pPr>
              <w:pStyle w:val="12"/>
              <w:spacing w:line="360" w:lineRule="auto"/>
              <w:jc w:val="center"/>
              <w:rPr>
                <w:rFonts w:ascii="宋体" w:hAnsi="宋体" w:cs="宋体"/>
                <w:color w:val="auto"/>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Merge w:val="continue"/>
            <w:vAlign w:val="center"/>
          </w:tcPr>
          <w:p>
            <w:pPr>
              <w:pStyle w:val="12"/>
              <w:spacing w:line="360" w:lineRule="auto"/>
              <w:jc w:val="center"/>
              <w:rPr>
                <w:rFonts w:ascii="宋体" w:hAnsi="宋体" w:cs="宋体"/>
                <w:color w:val="auto"/>
                <w:szCs w:val="21"/>
              </w:rPr>
            </w:pPr>
          </w:p>
        </w:tc>
        <w:tc>
          <w:tcPr>
            <w:tcW w:w="1195" w:type="dxa"/>
            <w:vAlign w:val="center"/>
          </w:tcPr>
          <w:p>
            <w:pPr>
              <w:pStyle w:val="12"/>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4" w:type="dxa"/>
            <w:vMerge w:val="continue"/>
            <w:vAlign w:val="center"/>
          </w:tcPr>
          <w:p>
            <w:pPr>
              <w:pStyle w:val="12"/>
              <w:spacing w:line="360" w:lineRule="auto"/>
              <w:jc w:val="center"/>
              <w:rPr>
                <w:rFonts w:ascii="宋体" w:hAnsi="宋体" w:cs="宋体"/>
                <w:color w:val="auto"/>
                <w:szCs w:val="21"/>
              </w:rPr>
            </w:pPr>
          </w:p>
        </w:tc>
        <w:tc>
          <w:tcPr>
            <w:tcW w:w="545" w:type="dxa"/>
            <w:vAlign w:val="center"/>
          </w:tcPr>
          <w:p>
            <w:pPr>
              <w:pStyle w:val="12"/>
              <w:spacing w:line="360" w:lineRule="auto"/>
              <w:jc w:val="center"/>
              <w:rPr>
                <w:rFonts w:ascii="宋体" w:hAnsi="宋体" w:eastAsia="宋体" w:cs="宋体"/>
                <w:color w:val="auto"/>
                <w:szCs w:val="21"/>
              </w:rPr>
            </w:pPr>
            <w:r>
              <w:rPr>
                <w:rFonts w:hint="eastAsia" w:ascii="宋体" w:hAnsi="宋体" w:cs="宋体"/>
                <w:color w:val="auto"/>
                <w:szCs w:val="21"/>
              </w:rPr>
              <w:t>15</w:t>
            </w:r>
          </w:p>
        </w:tc>
        <w:tc>
          <w:tcPr>
            <w:tcW w:w="1085" w:type="dxa"/>
            <w:vAlign w:val="center"/>
          </w:tcPr>
          <w:p>
            <w:pPr>
              <w:pStyle w:val="12"/>
              <w:spacing w:line="360" w:lineRule="auto"/>
              <w:rPr>
                <w:rFonts w:ascii="宋体" w:hAnsi="宋体" w:eastAsia="宋体" w:cs="宋体"/>
                <w:color w:val="auto"/>
                <w:szCs w:val="21"/>
              </w:rPr>
            </w:pPr>
          </w:p>
        </w:tc>
        <w:tc>
          <w:tcPr>
            <w:tcW w:w="1357" w:type="dxa"/>
            <w:vAlign w:val="center"/>
          </w:tcPr>
          <w:p>
            <w:pPr>
              <w:pStyle w:val="12"/>
              <w:spacing w:line="360" w:lineRule="auto"/>
              <w:jc w:val="center"/>
              <w:rPr>
                <w:rFonts w:ascii="宋体" w:hAnsi="宋体" w:cs="宋体"/>
                <w:color w:val="auto"/>
                <w:szCs w:val="21"/>
              </w:rPr>
            </w:pPr>
          </w:p>
        </w:tc>
        <w:tc>
          <w:tcPr>
            <w:tcW w:w="1525" w:type="dxa"/>
            <w:vAlign w:val="center"/>
          </w:tcPr>
          <w:p>
            <w:pPr>
              <w:pStyle w:val="12"/>
              <w:spacing w:line="360" w:lineRule="auto"/>
              <w:jc w:val="center"/>
              <w:rPr>
                <w:rFonts w:ascii="宋体" w:hAnsi="宋体" w:cs="宋体"/>
                <w:color w:val="auto"/>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Merge w:val="continue"/>
            <w:vAlign w:val="center"/>
          </w:tcPr>
          <w:p>
            <w:pPr>
              <w:pStyle w:val="12"/>
              <w:spacing w:line="360" w:lineRule="auto"/>
              <w:jc w:val="center"/>
              <w:rPr>
                <w:rFonts w:ascii="宋体" w:hAnsi="宋体" w:cs="宋体"/>
                <w:color w:val="auto"/>
                <w:szCs w:val="21"/>
              </w:rPr>
            </w:pPr>
          </w:p>
        </w:tc>
        <w:tc>
          <w:tcPr>
            <w:tcW w:w="1195" w:type="dxa"/>
            <w:vAlign w:val="center"/>
          </w:tcPr>
          <w:p>
            <w:pPr>
              <w:pStyle w:val="12"/>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4" w:type="dxa"/>
            <w:vMerge w:val="continue"/>
            <w:vAlign w:val="center"/>
          </w:tcPr>
          <w:p>
            <w:pPr>
              <w:pStyle w:val="12"/>
              <w:spacing w:line="360" w:lineRule="auto"/>
              <w:jc w:val="center"/>
              <w:rPr>
                <w:rFonts w:ascii="宋体" w:hAnsi="宋体" w:cs="宋体"/>
                <w:color w:val="auto"/>
                <w:szCs w:val="21"/>
              </w:rPr>
            </w:pPr>
          </w:p>
        </w:tc>
        <w:tc>
          <w:tcPr>
            <w:tcW w:w="2987" w:type="dxa"/>
            <w:gridSpan w:val="3"/>
            <w:vAlign w:val="center"/>
          </w:tcPr>
          <w:p>
            <w:pPr>
              <w:pStyle w:val="12"/>
              <w:spacing w:line="360" w:lineRule="auto"/>
              <w:jc w:val="center"/>
              <w:rPr>
                <w:rFonts w:ascii="宋体" w:hAnsi="宋体" w:eastAsia="宋体" w:cs="宋体"/>
                <w:color w:val="auto"/>
                <w:szCs w:val="21"/>
              </w:rPr>
            </w:pPr>
            <w:r>
              <w:rPr>
                <w:rFonts w:hint="eastAsia" w:ascii="宋体" w:hAnsi="宋体" w:cs="宋体"/>
                <w:color w:val="auto"/>
                <w:szCs w:val="21"/>
              </w:rPr>
              <w:t>合计</w:t>
            </w:r>
          </w:p>
        </w:tc>
        <w:tc>
          <w:tcPr>
            <w:tcW w:w="1525" w:type="dxa"/>
            <w:vAlign w:val="center"/>
          </w:tcPr>
          <w:p>
            <w:pPr>
              <w:pStyle w:val="12"/>
              <w:spacing w:line="360" w:lineRule="auto"/>
              <w:jc w:val="center"/>
              <w:rPr>
                <w:rFonts w:ascii="宋体" w:hAnsi="宋体" w:cs="宋体"/>
                <w:color w:val="auto"/>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Align w:val="center"/>
          </w:tcPr>
          <w:p>
            <w:pPr>
              <w:pStyle w:val="12"/>
              <w:spacing w:line="360" w:lineRule="auto"/>
              <w:jc w:val="center"/>
              <w:rPr>
                <w:rFonts w:ascii="宋体" w:hAnsi="宋体" w:eastAsia="宋体" w:cs="宋体"/>
                <w:color w:val="auto"/>
                <w:szCs w:val="21"/>
              </w:rPr>
            </w:pPr>
            <w:r>
              <w:rPr>
                <w:rFonts w:hint="eastAsia" w:ascii="宋体" w:hAnsi="宋体" w:cs="宋体"/>
                <w:color w:val="auto"/>
                <w:szCs w:val="21"/>
              </w:rPr>
              <w:t>/</w:t>
            </w:r>
          </w:p>
        </w:tc>
        <w:tc>
          <w:tcPr>
            <w:tcW w:w="1195" w:type="dxa"/>
            <w:vAlign w:val="center"/>
          </w:tcPr>
          <w:p>
            <w:pPr>
              <w:pStyle w:val="12"/>
              <w:spacing w:line="360" w:lineRule="auto"/>
              <w:jc w:val="center"/>
              <w:rPr>
                <w:rFonts w:ascii="宋体" w:hAnsi="宋体" w:eastAsia="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14"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类别</w:t>
            </w:r>
          </w:p>
        </w:tc>
        <w:tc>
          <w:tcPr>
            <w:tcW w:w="545"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序号</w:t>
            </w:r>
          </w:p>
        </w:tc>
        <w:tc>
          <w:tcPr>
            <w:tcW w:w="1085"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房号</w:t>
            </w:r>
          </w:p>
        </w:tc>
        <w:tc>
          <w:tcPr>
            <w:tcW w:w="1357"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房屋性质</w:t>
            </w:r>
          </w:p>
        </w:tc>
        <w:tc>
          <w:tcPr>
            <w:tcW w:w="1525"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pacing w:val="5"/>
                <w:szCs w:val="21"/>
              </w:rPr>
              <w:t>产权面积</w:t>
            </w:r>
            <w:r>
              <w:rPr>
                <w:rFonts w:hint="eastAsia" w:ascii="宋体" w:hAnsi="宋体" w:cs="宋体"/>
                <w:color w:val="auto"/>
                <w:szCs w:val="21"/>
              </w:rPr>
              <w:t>（㎡）</w:t>
            </w:r>
          </w:p>
        </w:tc>
        <w:tc>
          <w:tcPr>
            <w:tcW w:w="1513"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总价（万元）</w:t>
            </w:r>
          </w:p>
        </w:tc>
        <w:tc>
          <w:tcPr>
            <w:tcW w:w="1412" w:type="dxa"/>
            <w:vAlign w:val="center"/>
          </w:tcPr>
          <w:p>
            <w:pPr>
              <w:pStyle w:val="12"/>
              <w:spacing w:line="300" w:lineRule="atLeast"/>
              <w:jc w:val="center"/>
              <w:rPr>
                <w:rFonts w:ascii="宋体" w:hAnsi="宋体" w:cs="宋体"/>
                <w:color w:val="auto"/>
                <w:szCs w:val="21"/>
              </w:rPr>
            </w:pPr>
            <w:r>
              <w:rPr>
                <w:rFonts w:hint="eastAsia" w:ascii="宋体" w:hAnsi="宋体" w:cs="宋体"/>
                <w:color w:val="auto"/>
                <w:szCs w:val="21"/>
              </w:rPr>
              <w:t>平均单价</w:t>
            </w:r>
          </w:p>
          <w:p>
            <w:pPr>
              <w:pStyle w:val="12"/>
              <w:spacing w:line="300" w:lineRule="atLeas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万</w:t>
            </w:r>
            <w:r>
              <w:rPr>
                <w:rFonts w:hint="eastAsia" w:ascii="宋体" w:hAnsi="宋体" w:cs="宋体"/>
                <w:color w:val="auto"/>
                <w:szCs w:val="21"/>
              </w:rPr>
              <w:t>元/个)</w:t>
            </w:r>
          </w:p>
        </w:tc>
        <w:tc>
          <w:tcPr>
            <w:tcW w:w="1195" w:type="dxa"/>
            <w:vAlign w:val="center"/>
          </w:tcPr>
          <w:p>
            <w:pPr>
              <w:pStyle w:val="12"/>
              <w:spacing w:line="300" w:lineRule="atLeast"/>
              <w:jc w:val="center"/>
              <w:rPr>
                <w:rFonts w:ascii="宋体" w:hAnsi="宋体" w:eastAsia="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4" w:type="dxa"/>
            <w:vMerge w:val="restart"/>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地下停车位</w:t>
            </w:r>
          </w:p>
        </w:tc>
        <w:tc>
          <w:tcPr>
            <w:tcW w:w="54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1</w:t>
            </w:r>
          </w:p>
        </w:tc>
        <w:tc>
          <w:tcPr>
            <w:tcW w:w="108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w:t>
            </w:r>
          </w:p>
        </w:tc>
        <w:tc>
          <w:tcPr>
            <w:tcW w:w="1357" w:type="dxa"/>
            <w:vAlign w:val="center"/>
          </w:tcPr>
          <w:p>
            <w:pPr>
              <w:pStyle w:val="12"/>
              <w:spacing w:line="360" w:lineRule="auto"/>
              <w:jc w:val="center"/>
              <w:rPr>
                <w:rFonts w:ascii="宋体" w:hAnsi="宋体" w:cs="宋体"/>
                <w:color w:val="auto"/>
                <w:szCs w:val="21"/>
              </w:rPr>
            </w:pPr>
          </w:p>
        </w:tc>
        <w:tc>
          <w:tcPr>
            <w:tcW w:w="1525" w:type="dxa"/>
            <w:vAlign w:val="center"/>
          </w:tcPr>
          <w:p>
            <w:pPr>
              <w:pStyle w:val="12"/>
              <w:spacing w:line="360" w:lineRule="auto"/>
              <w:jc w:val="center"/>
              <w:rPr>
                <w:rFonts w:ascii="宋体" w:hAnsi="宋体" w:cs="宋体"/>
                <w:color w:val="auto"/>
                <w:spacing w:val="5"/>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Merge w:val="restart"/>
            <w:vAlign w:val="center"/>
          </w:tcPr>
          <w:p>
            <w:pPr>
              <w:pStyle w:val="12"/>
              <w:spacing w:line="360" w:lineRule="auto"/>
              <w:jc w:val="center"/>
              <w:rPr>
                <w:rFonts w:ascii="宋体" w:hAnsi="宋体" w:cs="宋体"/>
                <w:color w:val="auto"/>
                <w:szCs w:val="21"/>
              </w:rPr>
            </w:pPr>
          </w:p>
        </w:tc>
        <w:tc>
          <w:tcPr>
            <w:tcW w:w="1195" w:type="dxa"/>
            <w:vAlign w:val="center"/>
          </w:tcPr>
          <w:p>
            <w:pPr>
              <w:pStyle w:val="12"/>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4" w:type="dxa"/>
            <w:vMerge w:val="continue"/>
            <w:vAlign w:val="center"/>
          </w:tcPr>
          <w:p>
            <w:pPr>
              <w:pStyle w:val="12"/>
              <w:spacing w:line="360" w:lineRule="auto"/>
              <w:jc w:val="center"/>
              <w:rPr>
                <w:rFonts w:ascii="宋体" w:hAnsi="宋体" w:cs="宋体"/>
                <w:color w:val="auto"/>
                <w:szCs w:val="21"/>
              </w:rPr>
            </w:pPr>
          </w:p>
        </w:tc>
        <w:tc>
          <w:tcPr>
            <w:tcW w:w="54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2</w:t>
            </w:r>
          </w:p>
        </w:tc>
        <w:tc>
          <w:tcPr>
            <w:tcW w:w="108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w:t>
            </w:r>
          </w:p>
        </w:tc>
        <w:tc>
          <w:tcPr>
            <w:tcW w:w="1357" w:type="dxa"/>
            <w:vAlign w:val="center"/>
          </w:tcPr>
          <w:p>
            <w:pPr>
              <w:pStyle w:val="12"/>
              <w:spacing w:line="360" w:lineRule="auto"/>
              <w:jc w:val="center"/>
              <w:rPr>
                <w:rFonts w:ascii="宋体" w:hAnsi="宋体" w:cs="宋体"/>
                <w:color w:val="auto"/>
                <w:szCs w:val="21"/>
              </w:rPr>
            </w:pPr>
          </w:p>
        </w:tc>
        <w:tc>
          <w:tcPr>
            <w:tcW w:w="1525" w:type="dxa"/>
            <w:vAlign w:val="center"/>
          </w:tcPr>
          <w:p>
            <w:pPr>
              <w:pStyle w:val="12"/>
              <w:spacing w:line="360" w:lineRule="auto"/>
              <w:jc w:val="center"/>
              <w:rPr>
                <w:rFonts w:ascii="宋体" w:hAnsi="宋体" w:cs="宋体"/>
                <w:color w:val="auto"/>
                <w:spacing w:val="5"/>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Merge w:val="continue"/>
            <w:vAlign w:val="center"/>
          </w:tcPr>
          <w:p>
            <w:pPr>
              <w:pStyle w:val="12"/>
              <w:spacing w:line="360" w:lineRule="auto"/>
              <w:jc w:val="center"/>
              <w:rPr>
                <w:rFonts w:ascii="宋体" w:hAnsi="宋体" w:cs="宋体"/>
                <w:color w:val="auto"/>
                <w:szCs w:val="21"/>
              </w:rPr>
            </w:pPr>
          </w:p>
        </w:tc>
        <w:tc>
          <w:tcPr>
            <w:tcW w:w="1195" w:type="dxa"/>
            <w:vAlign w:val="center"/>
          </w:tcPr>
          <w:p>
            <w:pPr>
              <w:pStyle w:val="12"/>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4" w:type="dxa"/>
            <w:vMerge w:val="continue"/>
            <w:vAlign w:val="center"/>
          </w:tcPr>
          <w:p>
            <w:pPr>
              <w:pStyle w:val="12"/>
              <w:spacing w:line="360" w:lineRule="auto"/>
              <w:jc w:val="center"/>
              <w:rPr>
                <w:rFonts w:ascii="宋体" w:hAnsi="宋体" w:cs="宋体"/>
                <w:color w:val="auto"/>
                <w:szCs w:val="21"/>
              </w:rPr>
            </w:pPr>
          </w:p>
        </w:tc>
        <w:tc>
          <w:tcPr>
            <w:tcW w:w="545" w:type="dxa"/>
            <w:vAlign w:val="center"/>
          </w:tcPr>
          <w:p>
            <w:pPr>
              <w:pStyle w:val="12"/>
              <w:spacing w:line="300" w:lineRule="exact"/>
              <w:jc w:val="center"/>
              <w:rPr>
                <w:rFonts w:ascii="宋体" w:hAnsi="宋体" w:cs="宋体"/>
                <w:color w:val="auto"/>
                <w:szCs w:val="21"/>
              </w:rPr>
            </w:pPr>
            <w:r>
              <w:rPr>
                <w:rFonts w:hint="eastAsia" w:ascii="宋体" w:hAnsi="宋体" w:cs="宋体"/>
                <w:color w:val="auto"/>
                <w:szCs w:val="21"/>
              </w:rPr>
              <w:t>……</w:t>
            </w:r>
          </w:p>
        </w:tc>
        <w:tc>
          <w:tcPr>
            <w:tcW w:w="108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w:t>
            </w:r>
          </w:p>
        </w:tc>
        <w:tc>
          <w:tcPr>
            <w:tcW w:w="1357" w:type="dxa"/>
            <w:vAlign w:val="center"/>
          </w:tcPr>
          <w:p>
            <w:pPr>
              <w:pStyle w:val="12"/>
              <w:spacing w:line="360" w:lineRule="auto"/>
              <w:jc w:val="center"/>
              <w:rPr>
                <w:rFonts w:ascii="宋体" w:hAnsi="宋体" w:cs="宋体"/>
                <w:color w:val="auto"/>
                <w:szCs w:val="21"/>
              </w:rPr>
            </w:pPr>
          </w:p>
        </w:tc>
        <w:tc>
          <w:tcPr>
            <w:tcW w:w="1525" w:type="dxa"/>
            <w:vAlign w:val="center"/>
          </w:tcPr>
          <w:p>
            <w:pPr>
              <w:pStyle w:val="12"/>
              <w:spacing w:line="360" w:lineRule="auto"/>
              <w:jc w:val="center"/>
              <w:rPr>
                <w:rFonts w:ascii="宋体" w:hAnsi="宋体" w:cs="宋体"/>
                <w:color w:val="auto"/>
                <w:spacing w:val="5"/>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Merge w:val="continue"/>
            <w:vAlign w:val="center"/>
          </w:tcPr>
          <w:p>
            <w:pPr>
              <w:pStyle w:val="12"/>
              <w:spacing w:line="360" w:lineRule="auto"/>
              <w:jc w:val="center"/>
              <w:rPr>
                <w:rFonts w:ascii="宋体" w:hAnsi="宋体" w:cs="宋体"/>
                <w:color w:val="auto"/>
                <w:szCs w:val="21"/>
              </w:rPr>
            </w:pPr>
          </w:p>
        </w:tc>
        <w:tc>
          <w:tcPr>
            <w:tcW w:w="1195" w:type="dxa"/>
            <w:vAlign w:val="center"/>
          </w:tcPr>
          <w:p>
            <w:pPr>
              <w:pStyle w:val="12"/>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4" w:type="dxa"/>
            <w:vMerge w:val="continue"/>
            <w:vAlign w:val="center"/>
          </w:tcPr>
          <w:p>
            <w:pPr>
              <w:pStyle w:val="12"/>
              <w:spacing w:line="360" w:lineRule="auto"/>
              <w:jc w:val="center"/>
              <w:rPr>
                <w:rFonts w:ascii="宋体" w:hAnsi="宋体" w:cs="宋体"/>
                <w:color w:val="auto"/>
                <w:szCs w:val="21"/>
              </w:rPr>
            </w:pPr>
          </w:p>
        </w:tc>
        <w:tc>
          <w:tcPr>
            <w:tcW w:w="54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15</w:t>
            </w:r>
          </w:p>
        </w:tc>
        <w:tc>
          <w:tcPr>
            <w:tcW w:w="1085" w:type="dxa"/>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w:t>
            </w:r>
          </w:p>
        </w:tc>
        <w:tc>
          <w:tcPr>
            <w:tcW w:w="1357" w:type="dxa"/>
            <w:vAlign w:val="center"/>
          </w:tcPr>
          <w:p>
            <w:pPr>
              <w:pStyle w:val="12"/>
              <w:spacing w:line="360" w:lineRule="auto"/>
              <w:jc w:val="center"/>
              <w:rPr>
                <w:rFonts w:ascii="宋体" w:hAnsi="宋体" w:cs="宋体"/>
                <w:color w:val="auto"/>
                <w:szCs w:val="21"/>
              </w:rPr>
            </w:pPr>
          </w:p>
        </w:tc>
        <w:tc>
          <w:tcPr>
            <w:tcW w:w="1525" w:type="dxa"/>
            <w:vAlign w:val="center"/>
          </w:tcPr>
          <w:p>
            <w:pPr>
              <w:pStyle w:val="12"/>
              <w:spacing w:line="360" w:lineRule="auto"/>
              <w:jc w:val="center"/>
              <w:rPr>
                <w:rFonts w:ascii="宋体" w:hAnsi="宋体" w:cs="宋体"/>
                <w:color w:val="auto"/>
                <w:spacing w:val="5"/>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Merge w:val="continue"/>
            <w:vAlign w:val="center"/>
          </w:tcPr>
          <w:p>
            <w:pPr>
              <w:pStyle w:val="12"/>
              <w:spacing w:line="360" w:lineRule="auto"/>
              <w:jc w:val="center"/>
              <w:rPr>
                <w:rFonts w:ascii="宋体" w:hAnsi="宋体" w:cs="宋体"/>
                <w:color w:val="auto"/>
                <w:szCs w:val="21"/>
              </w:rPr>
            </w:pPr>
          </w:p>
        </w:tc>
        <w:tc>
          <w:tcPr>
            <w:tcW w:w="1195" w:type="dxa"/>
            <w:vAlign w:val="center"/>
          </w:tcPr>
          <w:p>
            <w:pPr>
              <w:pStyle w:val="12"/>
              <w:spacing w:line="360" w:lineRule="auto"/>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14" w:type="dxa"/>
            <w:vMerge w:val="continue"/>
            <w:vAlign w:val="center"/>
          </w:tcPr>
          <w:p>
            <w:pPr>
              <w:pStyle w:val="12"/>
              <w:spacing w:line="360" w:lineRule="auto"/>
              <w:jc w:val="center"/>
              <w:rPr>
                <w:rFonts w:ascii="宋体" w:hAnsi="宋体" w:cs="宋体"/>
                <w:color w:val="auto"/>
                <w:szCs w:val="21"/>
              </w:rPr>
            </w:pPr>
          </w:p>
        </w:tc>
        <w:tc>
          <w:tcPr>
            <w:tcW w:w="2987" w:type="dxa"/>
            <w:gridSpan w:val="3"/>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合计</w:t>
            </w:r>
          </w:p>
        </w:tc>
        <w:tc>
          <w:tcPr>
            <w:tcW w:w="1525" w:type="dxa"/>
            <w:vAlign w:val="center"/>
          </w:tcPr>
          <w:p>
            <w:pPr>
              <w:pStyle w:val="12"/>
              <w:spacing w:line="360" w:lineRule="auto"/>
              <w:jc w:val="center"/>
              <w:rPr>
                <w:rFonts w:ascii="宋体" w:hAnsi="宋体" w:cs="宋体"/>
                <w:color w:val="auto"/>
                <w:spacing w:val="5"/>
                <w:szCs w:val="21"/>
              </w:rPr>
            </w:pPr>
          </w:p>
        </w:tc>
        <w:tc>
          <w:tcPr>
            <w:tcW w:w="1513" w:type="dxa"/>
            <w:vAlign w:val="center"/>
          </w:tcPr>
          <w:p>
            <w:pPr>
              <w:pStyle w:val="12"/>
              <w:spacing w:line="360" w:lineRule="auto"/>
              <w:jc w:val="center"/>
              <w:rPr>
                <w:rFonts w:ascii="宋体" w:hAnsi="宋体" w:cs="宋体"/>
                <w:color w:val="auto"/>
                <w:szCs w:val="21"/>
              </w:rPr>
            </w:pPr>
          </w:p>
        </w:tc>
        <w:tc>
          <w:tcPr>
            <w:tcW w:w="1412" w:type="dxa"/>
            <w:vAlign w:val="center"/>
          </w:tcPr>
          <w:p>
            <w:pPr>
              <w:pStyle w:val="12"/>
              <w:spacing w:line="360" w:lineRule="auto"/>
              <w:jc w:val="center"/>
              <w:rPr>
                <w:rFonts w:ascii="宋体" w:hAnsi="宋体" w:eastAsia="宋体" w:cs="宋体"/>
                <w:color w:val="auto"/>
                <w:szCs w:val="21"/>
              </w:rPr>
            </w:pPr>
            <w:r>
              <w:rPr>
                <w:rFonts w:hint="eastAsia" w:ascii="宋体" w:hAnsi="宋体" w:cs="宋体"/>
                <w:color w:val="auto"/>
                <w:szCs w:val="21"/>
              </w:rPr>
              <w:t>/</w:t>
            </w:r>
          </w:p>
        </w:tc>
        <w:tc>
          <w:tcPr>
            <w:tcW w:w="1195" w:type="dxa"/>
            <w:vAlign w:val="center"/>
          </w:tcPr>
          <w:p>
            <w:pPr>
              <w:pStyle w:val="12"/>
              <w:spacing w:line="360" w:lineRule="auto"/>
              <w:jc w:val="center"/>
              <w:rPr>
                <w:rFonts w:ascii="宋体" w:hAnsi="宋体" w:eastAsia="宋体" w:cs="宋体"/>
                <w:color w:val="auto"/>
                <w:szCs w:val="21"/>
              </w:rPr>
            </w:pP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601" w:type="dxa"/>
            <w:gridSpan w:val="4"/>
            <w:vAlign w:val="center"/>
          </w:tcPr>
          <w:p>
            <w:pPr>
              <w:pStyle w:val="12"/>
              <w:spacing w:line="360" w:lineRule="auto"/>
              <w:jc w:val="center"/>
              <w:rPr>
                <w:rFonts w:ascii="宋体" w:hAnsi="宋体" w:cs="宋体"/>
                <w:color w:val="auto"/>
                <w:szCs w:val="21"/>
              </w:rPr>
            </w:pPr>
            <w:r>
              <w:rPr>
                <w:rFonts w:hint="eastAsia" w:ascii="宋体" w:hAnsi="宋体" w:cs="宋体"/>
                <w:color w:val="auto"/>
                <w:szCs w:val="21"/>
              </w:rPr>
              <w:t>本项目投标总价</w:t>
            </w:r>
          </w:p>
        </w:tc>
        <w:tc>
          <w:tcPr>
            <w:tcW w:w="5645" w:type="dxa"/>
            <w:gridSpan w:val="4"/>
            <w:vAlign w:val="center"/>
          </w:tcPr>
          <w:p>
            <w:pPr>
              <w:pStyle w:val="12"/>
              <w:spacing w:line="360" w:lineRule="auto"/>
              <w:jc w:val="center"/>
              <w:rPr>
                <w:rFonts w:ascii="宋体" w:hAnsi="宋体" w:cs="宋体"/>
                <w:color w:val="auto"/>
                <w:szCs w:val="21"/>
              </w:rPr>
            </w:pPr>
          </w:p>
        </w:tc>
      </w:tr>
    </w:tbl>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（7）毛坯房为核心产品，若提供相同品</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牌产品（同一家房地产开发视为相同品</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牌）的不同投标人参加同一合同项下投标的，按招标文件及相关规定执行。</w:t>
      </w:r>
    </w:p>
    <w:p>
      <w:pPr>
        <w:pStyle w:val="10"/>
        <w:spacing w:line="360" w:lineRule="auto"/>
        <w:outlineLvl w:val="0"/>
        <w:rPr>
          <w:rFonts w:ascii="宋体" w:hAnsi="宋体" w:eastAsia="宋体" w:cs="宋体"/>
          <w:bCs/>
          <w:color w:val="auto"/>
          <w:szCs w:val="21"/>
        </w:rPr>
      </w:pPr>
      <w:r>
        <w:rPr>
          <w:rFonts w:hint="eastAsia" w:ascii="宋体" w:hAnsi="宋体" w:eastAsia="宋体" w:cs="宋体"/>
          <w:bCs/>
          <w:color w:val="auto"/>
          <w:szCs w:val="21"/>
        </w:rPr>
        <w:t>（二）保修期要求（共10项）</w:t>
      </w:r>
    </w:p>
    <w:p>
      <w:pPr>
        <w:pStyle w:val="6"/>
        <w:widowControl/>
        <w:spacing w:before="75" w:beforeAutospacing="0" w:after="75" w:afterAutospacing="0" w:line="360" w:lineRule="auto"/>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1、正常使用下，房屋的建筑工程质量保修期限不得低于以下期限 ：</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（1）地基基础和主体结构工程，为设</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计文件规定的该工程的合理使用年限；</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bCs/>
          <w:color w:val="auto"/>
          <w:szCs w:val="21"/>
        </w:rPr>
        <w:t>屋面防水工程5年</w:t>
      </w:r>
      <w:r>
        <w:rPr>
          <w:rFonts w:hint="eastAsia" w:ascii="宋体" w:hAnsi="宋体" w:eastAsia="宋体" w:cs="宋体"/>
          <w:color w:val="auto"/>
          <w:szCs w:val="21"/>
        </w:rPr>
        <w:t>；</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（3）墙面 、厨房和卫生间地面、管道渗漏5年；</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（4）墙面、顶棚抹灰层脱落2年；</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（5）地面空鼓开裂、大面积起砂2年；</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（6）门窗翘裂、五金件损坏2年；</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rPr>
        <w:t>7</w:t>
      </w:r>
      <w:r>
        <w:rPr>
          <w:rFonts w:hint="eastAsia" w:ascii="宋体" w:hAnsi="宋体" w:eastAsia="宋体" w:cs="宋体"/>
          <w:color w:val="auto"/>
          <w:szCs w:val="21"/>
        </w:rPr>
        <w:t>）管道堵塞1年；</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（8）其他部位 、部件的保修期限按《房地产（住宅）质量保证书》执行。 </w:t>
      </w:r>
    </w:p>
    <w:p>
      <w:pPr>
        <w:pStyle w:val="6"/>
        <w:widowControl/>
        <w:spacing w:before="75" w:beforeAutospacing="0" w:after="75" w:afterAutospacing="0" w:line="360" w:lineRule="auto"/>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2、房屋建筑工程保修期从交付之日起计算。</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（1）在保修期限和范围内的保修费用由中标人负担，但因采购人或其分配的住户使用不当或不可抗力等非中标人原因造成的问题除外。</w:t>
      </w:r>
    </w:p>
    <w:p>
      <w:pPr>
        <w:tabs>
          <w:tab w:val="left" w:pos="9000"/>
        </w:tabs>
        <w:spacing w:line="360" w:lineRule="auto"/>
        <w:ind w:firstLine="420" w:firstLineChars="200"/>
        <w:rPr>
          <w:rFonts w:ascii="宋体" w:hAnsi="宋体" w:eastAsia="宋体" w:cs="宋体"/>
          <w:color w:val="auto"/>
        </w:rPr>
      </w:pPr>
      <w:r>
        <w:rPr>
          <w:rFonts w:hint="eastAsia" w:ascii="宋体" w:hAnsi="宋体" w:eastAsia="宋体" w:cs="宋体"/>
          <w:color w:val="auto"/>
          <w:szCs w:val="21"/>
        </w:rPr>
        <w:t>（2）采购人将拒绝接受不合格的房屋和服务，并有权不予支付任何费用，同时保留追究相关责任的权利。</w:t>
      </w:r>
    </w:p>
    <w:p>
      <w:pPr>
        <w:pStyle w:val="6"/>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三、商务条件（以“★”标示的内容为不允许负偏离的实质性要求）</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1、交付地点：标的所在地。</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2、交付时间：</w:t>
      </w:r>
      <w:r>
        <w:rPr>
          <w:rFonts w:hint="eastAsia" w:ascii="宋体" w:hAnsi="宋体" w:eastAsia="宋体" w:cs="宋体"/>
          <w:color w:val="auto"/>
          <w:szCs w:val="21"/>
          <w:lang w:eastAsia="zh-CN"/>
        </w:rPr>
        <w:t>合同签订后</w:t>
      </w:r>
      <w:r>
        <w:rPr>
          <w:rFonts w:hint="eastAsia" w:ascii="宋体" w:hAnsi="宋体" w:eastAsia="宋体" w:cs="宋体"/>
          <w:color w:val="auto"/>
          <w:szCs w:val="21"/>
          <w:lang w:val="en-US" w:eastAsia="zh-CN"/>
        </w:rPr>
        <w:t>60天内交货</w:t>
      </w:r>
      <w:r>
        <w:rPr>
          <w:rFonts w:hint="eastAsia" w:ascii="宋体" w:hAnsi="宋体" w:eastAsia="宋体" w:cs="宋体"/>
          <w:color w:val="auto"/>
          <w:szCs w:val="21"/>
        </w:rPr>
        <w:t>。</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3、交付条件：通过采购人最终验收合格。</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4、是否收取履约保证金： 否。</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5、是否邀请投标人参与验收：否。</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6、验收方式数据表格 </w:t>
      </w:r>
    </w:p>
    <w:tbl>
      <w:tblPr>
        <w:tblStyle w:val="7"/>
        <w:tblW w:w="833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12"/>
        <w:gridCol w:w="72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111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验收期次</w:t>
            </w:r>
          </w:p>
        </w:tc>
        <w:tc>
          <w:tcPr>
            <w:tcW w:w="72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11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722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szCs w:val="21"/>
              </w:rPr>
            </w:pPr>
            <w:r>
              <w:rPr>
                <w:rFonts w:hint="eastAsia" w:ascii="宋体" w:hAnsi="宋体" w:eastAsia="宋体" w:cs="宋体"/>
                <w:color w:val="auto"/>
                <w:szCs w:val="21"/>
              </w:rPr>
              <w:t>通过相关单位验收合格。若不符合招标文件要求的，中标人需整改，若中标人不进行整改，采购人有权取消中标人的中标资格，由此而产生的经济及法律责任，由中标人承担。</w:t>
            </w:r>
          </w:p>
        </w:tc>
      </w:tr>
    </w:tbl>
    <w:p>
      <w:pPr>
        <w:numPr>
          <w:ilvl w:val="0"/>
          <w:numId w:val="1"/>
        </w:num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支付方式数据表格 </w:t>
      </w:r>
    </w:p>
    <w:p>
      <w:pPr>
        <w:pStyle w:val="11"/>
        <w:rPr>
          <w:color w:val="auto"/>
        </w:rPr>
      </w:pPr>
    </w:p>
    <w:p>
      <w:pPr>
        <w:pStyle w:val="11"/>
        <w:rPr>
          <w:color w:val="auto"/>
        </w:rPr>
      </w:pPr>
    </w:p>
    <w:tbl>
      <w:tblPr>
        <w:tblStyle w:val="7"/>
        <w:tblW w:w="83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63"/>
        <w:gridCol w:w="1386"/>
        <w:gridCol w:w="56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126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支付期次</w:t>
            </w:r>
          </w:p>
        </w:tc>
        <w:tc>
          <w:tcPr>
            <w:tcW w:w="138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支付比例(%)</w:t>
            </w:r>
          </w:p>
        </w:tc>
        <w:tc>
          <w:tcPr>
            <w:tcW w:w="567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6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138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30</w:t>
            </w:r>
          </w:p>
        </w:tc>
        <w:tc>
          <w:tcPr>
            <w:tcW w:w="567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auto"/>
                <w:szCs w:val="21"/>
              </w:rPr>
            </w:pPr>
            <w:r>
              <w:rPr>
                <w:rFonts w:hint="eastAsia" w:ascii="宋体" w:hAnsi="宋体" w:eastAsia="宋体" w:cs="宋体"/>
                <w:color w:val="auto"/>
                <w:kern w:val="0"/>
                <w:szCs w:val="21"/>
                <w:lang w:eastAsia="zh-CN"/>
              </w:rPr>
              <w:t>中标人</w:t>
            </w:r>
            <w:r>
              <w:rPr>
                <w:rFonts w:hint="eastAsia" w:ascii="宋体" w:hAnsi="宋体" w:eastAsia="宋体" w:cs="宋体"/>
                <w:color w:val="auto"/>
                <w:kern w:val="0"/>
                <w:szCs w:val="21"/>
              </w:rPr>
              <w:t>须在住建局网签合同签订前7天出具房产银行解押证明（若有），待采购人核实后支付合同总价的30％。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6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38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60</w:t>
            </w:r>
          </w:p>
        </w:tc>
        <w:tc>
          <w:tcPr>
            <w:tcW w:w="567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auto"/>
                <w:szCs w:val="21"/>
              </w:rPr>
            </w:pPr>
            <w:r>
              <w:rPr>
                <w:rFonts w:hint="eastAsia" w:ascii="宋体" w:hAnsi="宋体" w:eastAsia="宋体" w:cs="宋体"/>
                <w:color w:val="auto"/>
                <w:kern w:val="0"/>
                <w:szCs w:val="21"/>
              </w:rPr>
              <w:t>合同备案通过后7天内支付合同总价的60％。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3" w:hRule="atLeast"/>
          <w:jc w:val="center"/>
        </w:trPr>
        <w:tc>
          <w:tcPr>
            <w:tcW w:w="126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138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567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color w:val="auto"/>
                <w:szCs w:val="21"/>
              </w:rPr>
            </w:pPr>
            <w:r>
              <w:rPr>
                <w:rFonts w:hint="eastAsia" w:ascii="宋体" w:hAnsi="宋体" w:eastAsia="宋体" w:cs="宋体"/>
                <w:color w:val="auto"/>
                <w:kern w:val="0"/>
                <w:szCs w:val="21"/>
              </w:rPr>
              <w:t>余款待交房后7天内付清。</w:t>
            </w:r>
          </w:p>
        </w:tc>
      </w:tr>
    </w:tbl>
    <w:p>
      <w:pPr>
        <w:pStyle w:val="6"/>
        <w:keepNext w:val="0"/>
        <w:keepLines w:val="0"/>
        <w:widowControl/>
        <w:suppressLineNumbers w:val="0"/>
        <w:spacing w:before="75" w:beforeAutospacing="0" w:after="75" w:afterAutospacing="0"/>
        <w:ind w:left="0" w:right="0" w:firstLine="0"/>
        <w:jc w:val="left"/>
        <w:rPr>
          <w:rFonts w:hint="eastAsia" w:ascii="宋体" w:hAnsi="宋体" w:eastAsia="宋体" w:cs="宋体"/>
          <w:spacing w:val="0"/>
          <w:sz w:val="24"/>
          <w:szCs w:val="24"/>
        </w:rPr>
      </w:pPr>
      <w:r>
        <w:rPr>
          <w:rFonts w:hint="eastAsia" w:ascii="宋体" w:hAnsi="宋体" w:eastAsia="宋体" w:cs="宋体"/>
          <w:spacing w:val="0"/>
          <w:sz w:val="24"/>
          <w:szCs w:val="24"/>
        </w:rPr>
        <w:t>四、其他事项</w:t>
      </w:r>
    </w:p>
    <w:p>
      <w:pPr>
        <w:tabs>
          <w:tab w:val="left" w:pos="9000"/>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1、除招标文件另有规定外，若出现有关法律、法规和规章有强制性规定但招标文件未列明的情形，则投标人应按照有关法律、法规和规章强制性规定执行。</w:t>
      </w:r>
    </w:p>
    <w:p>
      <w:pPr>
        <w:tabs>
          <w:tab w:val="left" w:pos="9000"/>
        </w:tabs>
        <w:spacing w:line="360" w:lineRule="auto"/>
        <w:ind w:firstLine="420" w:firstLineChars="200"/>
        <w:rPr>
          <w:color w:val="auto"/>
        </w:rPr>
      </w:pPr>
      <w:r>
        <w:rPr>
          <w:rFonts w:hint="eastAsia" w:ascii="宋体" w:hAnsi="宋体" w:eastAsia="宋体" w:cs="宋体"/>
          <w:color w:val="auto"/>
          <w:szCs w:val="21"/>
        </w:rPr>
        <w:t>2、其他：</w:t>
      </w:r>
    </w:p>
    <w:p>
      <w:pPr>
        <w:keepNext w:val="0"/>
        <w:keepLines w:val="0"/>
        <w:widowControl/>
        <w:suppressLineNumbers w:val="0"/>
        <w:jc w:val="left"/>
      </w:pPr>
    </w:p>
    <w:p>
      <w:pPr>
        <w:pStyle w:val="6"/>
        <w:keepNext w:val="0"/>
        <w:keepLines w:val="0"/>
        <w:widowControl/>
        <w:suppressLineNumbers w:val="0"/>
        <w:spacing w:before="75" w:beforeAutospacing="0" w:after="75" w:afterAutospacing="0"/>
        <w:ind w:left="0" w:right="0" w:firstLine="0"/>
      </w:pPr>
      <w:r>
        <w:rPr>
          <w:spacing w:val="0"/>
          <w:sz w:val="24"/>
          <w:szCs w:val="24"/>
        </w:rPr>
        <w:t> </w:t>
      </w:r>
    </w:p>
    <w:p>
      <w:pPr>
        <w:rPr>
          <w:rStyle w:val="9"/>
          <w:rFonts w:hint="eastAsia" w:ascii="宋体" w:hAnsi="宋体" w:eastAsia="宋体" w:cs="宋体"/>
          <w:b/>
          <w:bCs/>
          <w:spacing w:val="0"/>
          <w:sz w:val="31"/>
          <w:szCs w:val="31"/>
        </w:rPr>
      </w:pPr>
      <w:r>
        <w:rPr>
          <w:rStyle w:val="9"/>
          <w:rFonts w:hint="eastAsia" w:ascii="宋体" w:hAnsi="宋体" w:eastAsia="宋体" w:cs="宋体"/>
          <w:b/>
          <w:bCs/>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第六章   政府采购合同（参考文本）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编制说明</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b/>
          <w:bCs/>
          <w:spacing w:val="0"/>
          <w:sz w:val="24"/>
          <w:szCs w:val="24"/>
        </w:rPr>
        <w:t>1、签订合同应遵守政府采购法、民法典。</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b/>
          <w:bCs/>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b/>
          <w:bCs/>
          <w:spacing w:val="0"/>
          <w:sz w:val="24"/>
          <w:szCs w:val="24"/>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widowControl/>
        <w:spacing w:before="75" w:beforeAutospacing="0" w:after="75" w:afterAutospacing="0"/>
        <w:rPr>
          <w:color w:val="auto"/>
        </w:rPr>
      </w:pPr>
      <w:r>
        <w:rPr>
          <w:rFonts w:hint="eastAsia" w:ascii="宋体" w:hAnsi="宋体" w:eastAsia="宋体" w:cs="宋体"/>
          <w:color w:val="auto"/>
        </w:rPr>
        <w:t>甲方：                 乙方：</w:t>
      </w:r>
    </w:p>
    <w:p>
      <w:pPr>
        <w:pStyle w:val="6"/>
        <w:widowControl/>
        <w:spacing w:before="75" w:beforeAutospacing="0" w:after="75" w:afterAutospacing="0"/>
        <w:rPr>
          <w:color w:val="auto"/>
        </w:rPr>
      </w:pPr>
      <w:r>
        <w:rPr>
          <w:rFonts w:hint="eastAsia" w:ascii="宋体" w:hAnsi="宋体" w:eastAsia="宋体" w:cs="宋体"/>
          <w:color w:val="auto"/>
        </w:rPr>
        <w:t>住所：              住所：</w:t>
      </w:r>
    </w:p>
    <w:p>
      <w:pPr>
        <w:pStyle w:val="6"/>
        <w:widowControl/>
        <w:spacing w:before="75" w:beforeAutospacing="0" w:after="75" w:afterAutospacing="0"/>
        <w:rPr>
          <w:color w:val="auto"/>
        </w:rPr>
      </w:pPr>
      <w:r>
        <w:rPr>
          <w:rFonts w:hint="eastAsia" w:ascii="宋体" w:hAnsi="宋体" w:eastAsia="宋体" w:cs="宋体"/>
          <w:color w:val="auto"/>
        </w:rPr>
        <w:t>单位负责人：            单位负责人：</w:t>
      </w:r>
    </w:p>
    <w:p>
      <w:pPr>
        <w:pStyle w:val="6"/>
        <w:widowControl/>
        <w:spacing w:before="75" w:beforeAutospacing="0" w:after="75" w:afterAutospacing="0"/>
        <w:rPr>
          <w:color w:val="auto"/>
        </w:rPr>
      </w:pPr>
      <w:r>
        <w:rPr>
          <w:rFonts w:hint="eastAsia" w:ascii="宋体" w:hAnsi="宋体" w:eastAsia="宋体" w:cs="宋体"/>
          <w:color w:val="auto"/>
        </w:rPr>
        <w:t> </w:t>
      </w:r>
    </w:p>
    <w:p>
      <w:pPr>
        <w:pStyle w:val="6"/>
        <w:widowControl/>
        <w:spacing w:before="75" w:beforeAutospacing="0" w:after="75" w:afterAutospacing="0"/>
        <w:rPr>
          <w:color w:val="auto"/>
        </w:rPr>
      </w:pPr>
      <w:r>
        <w:rPr>
          <w:rFonts w:hint="eastAsia" w:ascii="宋体" w:hAnsi="宋体" w:eastAsia="宋体" w:cs="宋体"/>
          <w:color w:val="auto"/>
        </w:rPr>
        <w:t>委托代理人：           委托代理人：</w:t>
      </w:r>
    </w:p>
    <w:p>
      <w:pPr>
        <w:pStyle w:val="6"/>
        <w:widowControl/>
        <w:spacing w:before="75" w:beforeAutospacing="0" w:after="75" w:afterAutospacing="0"/>
        <w:rPr>
          <w:color w:val="auto"/>
        </w:rPr>
      </w:pPr>
      <w:r>
        <w:rPr>
          <w:rFonts w:hint="eastAsia" w:ascii="宋体" w:hAnsi="宋体" w:eastAsia="宋体" w:cs="宋体"/>
          <w:color w:val="auto"/>
        </w:rPr>
        <w:t> </w:t>
      </w:r>
    </w:p>
    <w:p>
      <w:pPr>
        <w:pStyle w:val="6"/>
        <w:widowControl/>
        <w:spacing w:before="75" w:beforeAutospacing="0" w:after="75" w:afterAutospacing="0"/>
        <w:rPr>
          <w:color w:val="auto"/>
        </w:rPr>
      </w:pPr>
      <w:r>
        <w:rPr>
          <w:rFonts w:hint="eastAsia" w:ascii="宋体" w:hAnsi="宋体" w:eastAsia="宋体" w:cs="宋体"/>
          <w:color w:val="auto"/>
        </w:rPr>
        <w:t>联系方法：            联系方法：</w:t>
      </w:r>
    </w:p>
    <w:p>
      <w:pPr>
        <w:pStyle w:val="6"/>
        <w:widowControl/>
        <w:spacing w:before="75" w:beforeAutospacing="0" w:after="75" w:afterAutospacing="0"/>
        <w:rPr>
          <w:color w:val="auto"/>
        </w:rPr>
      </w:pPr>
      <w:r>
        <w:rPr>
          <w:rFonts w:hint="eastAsia" w:ascii="宋体" w:hAnsi="宋体" w:eastAsia="宋体" w:cs="宋体"/>
          <w:color w:val="auto"/>
        </w:rPr>
        <w:t>开户银行：             开户银行：</w:t>
      </w:r>
    </w:p>
    <w:p>
      <w:pPr>
        <w:pStyle w:val="6"/>
        <w:widowControl/>
        <w:spacing w:before="75" w:beforeAutospacing="0" w:after="75" w:afterAutospacing="0"/>
        <w:rPr>
          <w:color w:val="auto"/>
        </w:rPr>
      </w:pPr>
      <w:r>
        <w:rPr>
          <w:rFonts w:hint="eastAsia" w:ascii="宋体" w:hAnsi="宋体" w:eastAsia="宋体" w:cs="宋体"/>
          <w:color w:val="auto"/>
        </w:rPr>
        <w:t>账号：              账号：</w:t>
      </w:r>
    </w:p>
    <w:p>
      <w:pPr>
        <w:pStyle w:val="6"/>
        <w:widowControl/>
        <w:spacing w:before="75" w:beforeAutospacing="0" w:after="75" w:afterAutospacing="0"/>
        <w:rPr>
          <w:color w:val="auto"/>
        </w:rPr>
      </w:pPr>
      <w:r>
        <w:rPr>
          <w:rFonts w:hint="eastAsia" w:ascii="宋体" w:hAnsi="宋体" w:eastAsia="宋体" w:cs="宋体"/>
          <w:color w:val="auto"/>
        </w:rPr>
        <w:t> </w:t>
      </w:r>
    </w:p>
    <w:p>
      <w:pPr>
        <w:pStyle w:val="6"/>
        <w:widowControl/>
        <w:spacing w:before="75" w:beforeAutospacing="0" w:after="75" w:afterAutospacing="0"/>
        <w:rPr>
          <w:color w:val="auto"/>
        </w:rPr>
      </w:pPr>
      <w:r>
        <w:rPr>
          <w:rFonts w:hint="eastAsia" w:ascii="宋体" w:hAnsi="宋体" w:eastAsia="宋体" w:cs="宋体"/>
          <w:color w:val="auto"/>
        </w:rPr>
        <w:t> </w:t>
      </w:r>
    </w:p>
    <w:p>
      <w:pPr>
        <w:pStyle w:val="6"/>
        <w:widowControl/>
        <w:spacing w:before="75" w:beforeAutospacing="0" w:after="75" w:afterAutospacing="0"/>
        <w:rPr>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pPr>
        <w:pStyle w:val="6"/>
        <w:widowControl/>
        <w:spacing w:before="75" w:beforeAutospacing="0" w:after="75" w:afterAutospacing="0"/>
        <w:rPr>
          <w:color w:val="auto"/>
        </w:rPr>
      </w:pPr>
      <w:r>
        <w:rPr>
          <w:rFonts w:hint="eastAsia" w:ascii="宋体" w:hAnsi="宋体" w:eastAsia="宋体" w:cs="宋体"/>
          <w:color w:val="auto"/>
        </w:rPr>
        <w:t>签订日期：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rPr>
          <w:rStyle w:val="9"/>
          <w:rFonts w:hint="eastAsia" w:ascii="宋体" w:hAnsi="宋体" w:eastAsia="宋体" w:cs="宋体"/>
          <w:b/>
          <w:bCs/>
          <w:spacing w:val="0"/>
          <w:sz w:val="31"/>
          <w:szCs w:val="31"/>
        </w:rPr>
      </w:pPr>
      <w:r>
        <w:rPr>
          <w:rStyle w:val="9"/>
          <w:rFonts w:hint="eastAsia" w:ascii="宋体" w:hAnsi="宋体" w:eastAsia="宋体" w:cs="宋体"/>
          <w:b/>
          <w:bCs/>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第七章   投标文件格式</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4"/>
          <w:szCs w:val="24"/>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1、除招标文件另有规定外，本章中：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1.1涉及投标人的</w:t>
      </w:r>
      <w:r>
        <w:rPr>
          <w:rStyle w:val="9"/>
          <w:rFonts w:hint="eastAsia" w:ascii="宋体" w:hAnsi="宋体" w:eastAsia="宋体" w:cs="宋体"/>
          <w:b/>
          <w:bCs/>
          <w:sz w:val="24"/>
          <w:szCs w:val="24"/>
        </w:rPr>
        <w:t>“全称”</w:t>
      </w:r>
      <w:r>
        <w:rPr>
          <w:rFonts w:hint="eastAsia" w:ascii="宋体" w:hAnsi="宋体" w:eastAsia="宋体" w:cs="宋体"/>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（1）不接受联合体投标的，指</w:t>
      </w:r>
      <w:r>
        <w:rPr>
          <w:rStyle w:val="9"/>
          <w:rFonts w:hint="eastAsia" w:ascii="宋体" w:hAnsi="宋体" w:eastAsia="宋体" w:cs="宋体"/>
          <w:b/>
          <w:bCs/>
          <w:sz w:val="24"/>
          <w:szCs w:val="24"/>
        </w:rPr>
        <w:t>投标人的全称</w:t>
      </w:r>
      <w:r>
        <w:rPr>
          <w:rFonts w:hint="eastAsia" w:ascii="宋体" w:hAnsi="宋体" w:eastAsia="宋体" w:cs="宋体"/>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（2）接受联合体投标且投标人为联合体的，指</w:t>
      </w:r>
      <w:r>
        <w:rPr>
          <w:rStyle w:val="9"/>
          <w:rFonts w:hint="eastAsia" w:ascii="宋体" w:hAnsi="宋体" w:eastAsia="宋体" w:cs="宋体"/>
          <w:b/>
          <w:bCs/>
          <w:sz w:val="24"/>
          <w:szCs w:val="24"/>
        </w:rPr>
        <w:t>牵头方的全称</w:t>
      </w:r>
      <w:r>
        <w:rPr>
          <w:rFonts w:hint="eastAsia" w:ascii="宋体" w:hAnsi="宋体" w:eastAsia="宋体" w:cs="宋体"/>
          <w:sz w:val="24"/>
          <w:szCs w:val="24"/>
        </w:rPr>
        <w:t>并加注</w:t>
      </w:r>
      <w:r>
        <w:rPr>
          <w:rStyle w:val="9"/>
          <w:rFonts w:hint="eastAsia" w:ascii="宋体" w:hAnsi="宋体" w:eastAsia="宋体" w:cs="宋体"/>
          <w:b/>
          <w:bCs/>
          <w:sz w:val="24"/>
          <w:szCs w:val="24"/>
        </w:rPr>
        <w:t>（联合体牵头方）</w:t>
      </w:r>
      <w:r>
        <w:rPr>
          <w:rFonts w:hint="eastAsia" w:ascii="宋体" w:hAnsi="宋体" w:eastAsia="宋体" w:cs="宋体"/>
          <w:sz w:val="24"/>
          <w:szCs w:val="24"/>
        </w:rPr>
        <w:t>，即应表述为：</w:t>
      </w:r>
      <w:r>
        <w:rPr>
          <w:rStyle w:val="9"/>
          <w:rFonts w:hint="eastAsia" w:ascii="宋体" w:hAnsi="宋体" w:eastAsia="宋体" w:cs="宋体"/>
          <w:b/>
          <w:bCs/>
          <w:sz w:val="24"/>
          <w:szCs w:val="24"/>
        </w:rPr>
        <w:t>“牵头方的全称（联合体牵头方）”</w:t>
      </w:r>
      <w:r>
        <w:rPr>
          <w:rFonts w:hint="eastAsia" w:ascii="宋体" w:hAnsi="宋体" w:eastAsia="宋体" w:cs="宋体"/>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1.2涉及投标人</w:t>
      </w:r>
      <w:r>
        <w:rPr>
          <w:rStyle w:val="9"/>
          <w:rFonts w:hint="eastAsia" w:ascii="宋体" w:hAnsi="宋体" w:eastAsia="宋体" w:cs="宋体"/>
          <w:b/>
          <w:bCs/>
          <w:sz w:val="24"/>
          <w:szCs w:val="24"/>
        </w:rPr>
        <w:t>“加盖单位公章”</w:t>
      </w:r>
      <w:r>
        <w:rPr>
          <w:rFonts w:hint="eastAsia" w:ascii="宋体" w:hAnsi="宋体" w:eastAsia="宋体" w:cs="宋体"/>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（1）不接受联合体投标的，指</w:t>
      </w:r>
      <w:r>
        <w:rPr>
          <w:rStyle w:val="9"/>
          <w:rFonts w:hint="eastAsia" w:ascii="宋体" w:hAnsi="宋体" w:eastAsia="宋体" w:cs="宋体"/>
          <w:b/>
          <w:bCs/>
          <w:sz w:val="24"/>
          <w:szCs w:val="24"/>
        </w:rPr>
        <w:t>加盖投标人的单位公章</w:t>
      </w:r>
      <w:r>
        <w:rPr>
          <w:rFonts w:hint="eastAsia" w:ascii="宋体" w:hAnsi="宋体" w:eastAsia="宋体" w:cs="宋体"/>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（2）接受联合体投标且投标人为联合体的，指</w:t>
      </w:r>
      <w:r>
        <w:rPr>
          <w:rStyle w:val="9"/>
          <w:rFonts w:hint="eastAsia" w:ascii="宋体" w:hAnsi="宋体" w:eastAsia="宋体" w:cs="宋体"/>
          <w:b/>
          <w:bCs/>
          <w:sz w:val="24"/>
          <w:szCs w:val="24"/>
        </w:rPr>
        <w:t>加盖联合体牵头方的单位公章</w:t>
      </w:r>
      <w:r>
        <w:rPr>
          <w:rFonts w:hint="eastAsia" w:ascii="宋体" w:hAnsi="宋体" w:eastAsia="宋体" w:cs="宋体"/>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1.3涉及</w:t>
      </w:r>
      <w:r>
        <w:rPr>
          <w:rStyle w:val="9"/>
          <w:rFonts w:hint="eastAsia" w:ascii="宋体" w:hAnsi="宋体" w:eastAsia="宋体" w:cs="宋体"/>
          <w:b/>
          <w:bCs/>
          <w:sz w:val="24"/>
          <w:szCs w:val="24"/>
        </w:rPr>
        <w:t>“投标人代表签字”</w:t>
      </w:r>
      <w:r>
        <w:rPr>
          <w:rFonts w:hint="eastAsia" w:ascii="宋体" w:hAnsi="宋体" w:eastAsia="宋体" w:cs="宋体"/>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（1）不接受联合体投标的，指由</w:t>
      </w:r>
      <w:r>
        <w:rPr>
          <w:rStyle w:val="9"/>
          <w:rFonts w:hint="eastAsia" w:ascii="宋体" w:hAnsi="宋体" w:eastAsia="宋体" w:cs="宋体"/>
          <w:b/>
          <w:bCs/>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（2）接受联合体投标且投标人为联合体的，指由</w:t>
      </w:r>
      <w:r>
        <w:rPr>
          <w:rStyle w:val="9"/>
          <w:rFonts w:hint="eastAsia" w:ascii="宋体" w:hAnsi="宋体" w:eastAsia="宋体" w:cs="宋体"/>
          <w:b/>
          <w:bCs/>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1.4</w:t>
      </w:r>
      <w:r>
        <w:rPr>
          <w:rStyle w:val="9"/>
          <w:rFonts w:hint="eastAsia" w:ascii="宋体" w:hAnsi="宋体" w:eastAsia="宋体" w:cs="宋体"/>
          <w:b/>
          <w:bCs/>
          <w:sz w:val="24"/>
          <w:szCs w:val="24"/>
        </w:rPr>
        <w:t>“其他组织”</w:t>
      </w:r>
      <w:r>
        <w:rPr>
          <w:rFonts w:hint="eastAsia" w:ascii="宋体" w:hAnsi="宋体" w:eastAsia="宋体" w:cs="宋体"/>
          <w:sz w:val="24"/>
          <w:szCs w:val="24"/>
        </w:rPr>
        <w:t>指合伙企业、非企业专业服务机构、个体工商户、农村承包经营户等。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1.5</w:t>
      </w:r>
      <w:r>
        <w:rPr>
          <w:rStyle w:val="9"/>
          <w:rFonts w:hint="eastAsia" w:ascii="宋体" w:hAnsi="宋体" w:eastAsia="宋体" w:cs="宋体"/>
          <w:b/>
          <w:bCs/>
          <w:sz w:val="24"/>
          <w:szCs w:val="24"/>
        </w:rPr>
        <w:t>“自然人”</w:t>
      </w:r>
      <w:r>
        <w:rPr>
          <w:rFonts w:hint="eastAsia" w:ascii="宋体" w:hAnsi="宋体" w:eastAsia="宋体" w:cs="宋体"/>
          <w:sz w:val="24"/>
          <w:szCs w:val="24"/>
        </w:rPr>
        <w:t>指具有完全民事行为能力、能够承担民事责任和义务的中国公民。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2、除招标文件另有规定外，本章中</w:t>
      </w:r>
      <w:r>
        <w:rPr>
          <w:rStyle w:val="9"/>
          <w:rFonts w:hint="eastAsia" w:ascii="宋体" w:hAnsi="宋体" w:eastAsia="宋体" w:cs="宋体"/>
          <w:b/>
          <w:bCs/>
          <w:sz w:val="24"/>
          <w:szCs w:val="24"/>
        </w:rPr>
        <w:t>“投标人的资格及资信证明文件”</w:t>
      </w:r>
      <w:r>
        <w:rPr>
          <w:rFonts w:hint="eastAsia" w:ascii="宋体" w:hAnsi="宋体" w:eastAsia="宋体" w:cs="宋体"/>
          <w:sz w:val="24"/>
          <w:szCs w:val="24"/>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3、投标人对投标文件的索引应编制页码。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4、除招标文件另有规定外，本章中：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textAlignment w:val="auto"/>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（资格及资信证明部分）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项目名称：</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备案编号：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招标编号：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所投合同包：</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rPr>
        <w:t>投标人：</w:t>
      </w:r>
      <w:r>
        <w:rPr>
          <w:rStyle w:val="9"/>
          <w:rFonts w:hint="eastAsia" w:ascii="宋体" w:hAnsi="宋体" w:eastAsia="宋体" w:cs="宋体"/>
          <w:b/>
          <w:bCs/>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年</w:t>
      </w: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一、投标函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二、投标人的资格及资信证明文件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三、投标保证金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资格及资信证明部分中不得出现报价部分的全部或部分的投标报价信息（或组成资料），否则</w:t>
      </w:r>
      <w:r>
        <w:rPr>
          <w:rStyle w:val="9"/>
          <w:rFonts w:hint="eastAsia" w:ascii="宋体" w:hAnsi="宋体" w:eastAsia="宋体" w:cs="宋体"/>
          <w:b/>
          <w:bCs/>
          <w:sz w:val="21"/>
          <w:szCs w:val="21"/>
        </w:rPr>
        <w:t>资格审查不合格</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一、投标函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（1）资格及资信证明部分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①投标函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②投标人的资格及资信证明文件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③投标保证金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（2）报价部分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①开标一览表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②投标分项报价表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③招标文件规定的价格扣除证明材料（若有）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④招标文件规定的加分证明材料（若有）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（3）技术商务部分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①标的说明一览表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②技术和服务要求响应表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③商务条件响应表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④投标人提交的其他资料（若有）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根据本函，本投标人代表宣布我方保证遵守招标文件的全部规定，同时：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1、</w:t>
      </w:r>
      <w:r>
        <w:rPr>
          <w:rStyle w:val="9"/>
          <w:rFonts w:hint="eastAsia" w:ascii="宋体" w:hAnsi="宋体" w:eastAsia="宋体" w:cs="宋体"/>
          <w:b/>
          <w:bCs/>
          <w:sz w:val="21"/>
          <w:szCs w:val="21"/>
        </w:rPr>
        <w:t>确认：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1.1所投合同包的投标报价详见“开标一览表”及“投标分项报价表”。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w:t>
      </w:r>
      <w:r>
        <w:rPr>
          <w:rStyle w:val="9"/>
          <w:rFonts w:hint="eastAsia" w:ascii="宋体" w:hAnsi="宋体" w:eastAsia="宋体" w:cs="宋体"/>
          <w:b/>
          <w:bCs/>
          <w:sz w:val="21"/>
          <w:szCs w:val="21"/>
        </w:rPr>
        <w:t>承诺及声明：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2.1我方具备招标文件第一章载明的“投标人的资格要求”且符合招标文件第三章载明的“二、投标人”之规定，否则</w:t>
      </w:r>
      <w:r>
        <w:rPr>
          <w:rStyle w:val="9"/>
          <w:rFonts w:hint="eastAsia" w:ascii="宋体" w:hAnsi="宋体" w:eastAsia="宋体" w:cs="宋体"/>
          <w:b/>
          <w:bCs/>
          <w:sz w:val="21"/>
          <w:szCs w:val="21"/>
        </w:rPr>
        <w:t>投标无效。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2.3我方提供的标的价格不高于同期市场价格，否则产生不利后果由我方承担责任。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2.4投标保证金：若出现招标文件第三章规定的不予退还情形，同意贵单位不予退还。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2.5投标有效期：按照招标文件第三章规定执行，并在招标文件第二章载明的期限内保持有效。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2.6若中标，将按照招标文件、我方投标文件及政府采购合同履行责任和义务。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二、投标人的资格及资信证明文件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二-1单位负责人授权书（若有）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投标人代表无转委权。特此授权。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pPr>
      <w:r>
        <w:rPr>
          <w:rFonts w:hint="eastAsia" w:ascii="宋体" w:hAnsi="宋体" w:eastAsia="宋体" w:cs="宋体"/>
          <w:sz w:val="21"/>
          <w:szCs w:val="21"/>
        </w:rPr>
        <w:t>（以下无正文）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授权方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default" w:ascii="Calibri" w:hAnsi="Calibri" w:cs="Calibri"/>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接受授权方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right"/>
        <w:textAlignment w:val="auto"/>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default" w:ascii="Calibri" w:hAnsi="Calibri" w:cs="Calibri"/>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附：单位负责人、投标人代表的身份证正反面复印件</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8" w:hRule="atLeast"/>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要求：真实有效且内容完整、清晰、整洁。</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 </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★注意：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1、企业（银行、保险、石油石化、电力、电信等行业除外）、事业单位和社会团体法人的“单位负责人”指</w:t>
      </w:r>
      <w:r>
        <w:rPr>
          <w:rStyle w:val="9"/>
          <w:rFonts w:hint="eastAsia" w:ascii="宋体" w:hAnsi="宋体" w:eastAsia="宋体" w:cs="宋体"/>
          <w:b/>
          <w:bCs/>
          <w:sz w:val="21"/>
          <w:szCs w:val="21"/>
        </w:rPr>
        <w:t>法定代表人</w:t>
      </w:r>
      <w:r>
        <w:rPr>
          <w:rFonts w:hint="eastAsia" w:ascii="宋体" w:hAnsi="宋体" w:eastAsia="宋体" w:cs="宋体"/>
          <w:sz w:val="21"/>
          <w:szCs w:val="21"/>
        </w:rPr>
        <w:t>，即与实际提交的“营业执照等证明文件”载明的一致。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spacing w:before="0" w:beforeAutospacing="0" w:after="15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二-2营业执照等证明文件</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二-3财务状况报告（财务报告、或资信证明、或投标担保函）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 ）投标人提供财务报告的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 ）投标人提供资信证明的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 ）投标人提供投标担保函的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default" w:ascii="Calibri" w:hAnsi="Calibri" w:cs="Calibri"/>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★注意：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2、投标人提供的财务报告复印件（成立年限按照投标截止时间推算）应符合下列规定：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Style w:val="9"/>
          <w:rFonts w:hint="eastAsia" w:ascii="宋体" w:hAnsi="宋体" w:eastAsia="宋体" w:cs="宋体"/>
          <w:b/>
          <w:bCs/>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[2011]124</w:t>
      </w:r>
      <w:r>
        <w:rPr>
          <w:rFonts w:hint="eastAsia" w:ascii="宋体" w:hAnsi="宋体" w:eastAsia="宋体" w:cs="宋体"/>
          <w:sz w:val="21"/>
          <w:szCs w:val="21"/>
        </w:rPr>
        <w:t>号）的规定。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default" w:ascii="Calibri" w:hAnsi="Calibri" w:cs="Calibri"/>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default" w:ascii="Calibri" w:hAnsi="Calibri" w:cs="Calibri"/>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二</w:t>
      </w:r>
      <w:r>
        <w:rPr>
          <w:rStyle w:val="9"/>
          <w:rFonts w:hint="eastAsia" w:ascii="宋体" w:hAnsi="宋体" w:eastAsia="宋体" w:cs="宋体"/>
          <w:b/>
          <w:bCs/>
          <w:sz w:val="21"/>
          <w:szCs w:val="21"/>
        </w:rPr>
        <w:t>-4依法缴纳税收证明材料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1、依法缴纳税收的投标人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2、依法免税的投标人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）现附上我方依法免税证明材料复印件，上述证明材料真实有效，否则我方负全部责任。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2、投标人提供的税收凭据复印件应符合下列规定：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2.2投标截止时间的当月成立且已依法缴纳税收的投标人，提供投标截止时间当月的税收凭据复印件。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9"/>
          <w:rFonts w:hint="eastAsia" w:ascii="宋体" w:hAnsi="宋体" w:eastAsia="宋体" w:cs="宋体"/>
          <w:b/>
          <w:bCs/>
          <w:sz w:val="21"/>
          <w:szCs w:val="21"/>
        </w:rPr>
        <w:t>“依法缴纳税收证明材料”</w:t>
      </w:r>
      <w:r>
        <w:rPr>
          <w:rFonts w:hint="eastAsia" w:ascii="宋体" w:hAnsi="宋体" w:eastAsia="宋体" w:cs="宋体"/>
          <w:sz w:val="21"/>
          <w:szCs w:val="21"/>
        </w:rPr>
        <w:t>有欠缴记录的，视为</w:t>
      </w:r>
      <w:r>
        <w:rPr>
          <w:rStyle w:val="9"/>
          <w:rFonts w:hint="eastAsia" w:ascii="宋体" w:hAnsi="宋体" w:eastAsia="宋体" w:cs="宋体"/>
          <w:b/>
          <w:bCs/>
          <w:sz w:val="21"/>
          <w:szCs w:val="21"/>
        </w:rPr>
        <w:t>未依法缴纳税收。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二-5依法缴纳社会保障资金证明材料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1、依法缴纳社会保障资金的投标人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2、依法不需要缴纳社会保障资金的投标人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2、投标人提供的社会保险凭据复印件应符合下列规定：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9"/>
          <w:rFonts w:hint="eastAsia" w:ascii="宋体" w:hAnsi="宋体" w:eastAsia="宋体" w:cs="宋体"/>
          <w:b/>
          <w:bCs/>
          <w:sz w:val="21"/>
          <w:szCs w:val="21"/>
        </w:rPr>
        <w:t>“依法缴纳社会保障资金证明材料”</w:t>
      </w:r>
      <w:r>
        <w:rPr>
          <w:rFonts w:hint="eastAsia" w:ascii="宋体" w:hAnsi="宋体" w:eastAsia="宋体" w:cs="宋体"/>
          <w:sz w:val="21"/>
          <w:szCs w:val="21"/>
        </w:rPr>
        <w:t>有欠缴记录的，视为</w:t>
      </w:r>
      <w:r>
        <w:rPr>
          <w:rStyle w:val="9"/>
          <w:rFonts w:hint="eastAsia" w:ascii="宋体" w:hAnsi="宋体" w:eastAsia="宋体" w:cs="宋体"/>
          <w:b/>
          <w:bCs/>
          <w:sz w:val="21"/>
          <w:szCs w:val="21"/>
        </w:rPr>
        <w:t>未依法缴纳社会保障资金。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rPr>
          <w:rFonts w:hint="eastAsia" w:ascii="宋体" w:hAnsi="宋体" w:eastAsia="宋体" w:cs="宋体"/>
          <w:sz w:val="21"/>
          <w:szCs w:val="21"/>
        </w:rPr>
      </w:pPr>
      <w:r>
        <w:rPr>
          <w:rFonts w:hint="eastAsia" w:ascii="宋体" w:hAnsi="宋体" w:eastAsia="宋体" w:cs="宋体"/>
          <w:sz w:val="21"/>
          <w:szCs w:val="21"/>
        </w:rPr>
        <w:t> </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9"/>
          <w:rFonts w:hint="eastAsia" w:ascii="宋体" w:hAnsi="宋体" w:eastAsia="宋体" w:cs="宋体"/>
          <w:b/>
          <w:bCs/>
          <w:sz w:val="21"/>
          <w:szCs w:val="21"/>
        </w:rPr>
        <w:t>-6具备履行合同所必需设备和专业技术能力的声明函（若有）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我方具备履行合同所必需的设备和专业技术能力，否则产生不利后果由我方承担责任。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4、请投标人根据实际情况如实声明，否则</w:t>
      </w:r>
      <w:r>
        <w:rPr>
          <w:rStyle w:val="9"/>
          <w:rFonts w:hint="eastAsia" w:ascii="宋体" w:hAnsi="宋体" w:eastAsia="宋体" w:cs="宋体"/>
          <w:b/>
          <w:bCs/>
          <w:sz w:val="21"/>
          <w:szCs w:val="21"/>
        </w:rPr>
        <w:t>视为提供虚假材料。</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9"/>
          <w:rFonts w:hint="eastAsia" w:ascii="宋体" w:hAnsi="宋体" w:eastAsia="宋体" w:cs="宋体"/>
          <w:b/>
          <w:bCs/>
          <w:sz w:val="21"/>
          <w:szCs w:val="21"/>
        </w:rPr>
        <w:t>-7参加采购活动前三年内在经营活动中没有重大违法记录书面声明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3、请投标人根据实际情况如实声明，否则</w:t>
      </w:r>
      <w:r>
        <w:rPr>
          <w:rStyle w:val="9"/>
          <w:rFonts w:hint="eastAsia" w:ascii="宋体" w:hAnsi="宋体" w:eastAsia="宋体" w:cs="宋体"/>
          <w:b/>
          <w:bCs/>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9"/>
          <w:rFonts w:hint="eastAsia" w:ascii="宋体" w:hAnsi="宋体" w:eastAsia="宋体" w:cs="宋体"/>
          <w:b/>
          <w:bCs/>
          <w:sz w:val="21"/>
          <w:szCs w:val="21"/>
        </w:rPr>
        <w:t>-8信用记录查询结果</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Style w:val="9"/>
          <w:rFonts w:hint="default" w:ascii="Calibri" w:hAnsi="Calibri" w:cs="Calibri"/>
          <w:b/>
          <w:bCs/>
          <w:sz w:val="21"/>
          <w:szCs w:val="21"/>
        </w:rPr>
      </w:pPr>
      <w:r>
        <w:rPr>
          <w:rStyle w:val="9"/>
          <w:rFonts w:hint="default" w:ascii="Calibri" w:hAnsi="Calibri" w:cs="Calibri"/>
          <w:b/>
          <w:bCs/>
          <w:sz w:val="21"/>
          <w:szCs w:val="21"/>
        </w:rPr>
        <w:br w:type="textWrapping"/>
      </w:r>
    </w:p>
    <w:p>
      <w:pPr>
        <w:rPr>
          <w:rStyle w:val="9"/>
          <w:rFonts w:hint="default" w:ascii="Calibri" w:hAnsi="Calibri" w:cs="Calibri"/>
          <w:b/>
          <w:bCs/>
          <w:sz w:val="21"/>
          <w:szCs w:val="21"/>
        </w:rPr>
      </w:pPr>
      <w:r>
        <w:rPr>
          <w:rStyle w:val="9"/>
          <w:rFonts w:hint="default" w:ascii="Calibri" w:hAnsi="Calibri" w:cs="Calibri"/>
          <w:b/>
          <w:bCs/>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二-9检察机关行贿犯罪档案查询结果告知函</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1、未提供行贿犯罪档案查询结果或查询结果表明投标人有行贿犯罪记录的，</w:t>
      </w:r>
      <w:r>
        <w:rPr>
          <w:rStyle w:val="9"/>
          <w:rFonts w:hint="eastAsia" w:ascii="宋体" w:hAnsi="宋体" w:eastAsia="宋体" w:cs="宋体"/>
          <w:b/>
          <w:bCs/>
          <w:sz w:val="21"/>
          <w:szCs w:val="21"/>
        </w:rPr>
        <w:t>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9"/>
          <w:rFonts w:hint="eastAsia" w:ascii="宋体" w:hAnsi="宋体" w:eastAsia="宋体" w:cs="宋体"/>
          <w:b/>
          <w:bCs/>
          <w:sz w:val="21"/>
          <w:szCs w:val="21"/>
        </w:rPr>
        <w:t>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3、告知函应在有效期内且内容完整、清晰、整洁，否则</w:t>
      </w:r>
      <w:r>
        <w:rPr>
          <w:rStyle w:val="9"/>
          <w:rFonts w:hint="eastAsia" w:ascii="宋体" w:hAnsi="宋体" w:eastAsia="宋体" w:cs="宋体"/>
          <w:b/>
          <w:bCs/>
          <w:sz w:val="21"/>
          <w:szCs w:val="21"/>
        </w:rPr>
        <w:t>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9"/>
          <w:rFonts w:hint="eastAsia" w:ascii="宋体" w:hAnsi="宋体" w:eastAsia="宋体" w:cs="宋体"/>
          <w:b/>
          <w:bCs/>
          <w:sz w:val="21"/>
          <w:szCs w:val="21"/>
        </w:rPr>
        <w:t>均视同有效。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6"/>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二-10联合体协议（若有）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一、联合体各方应承担的工作和义务具体如下：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2、成员方：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default" w:ascii="Calibri" w:hAnsi="Calibri" w:cs="Calibri"/>
          <w:sz w:val="21"/>
          <w:szCs w:val="21"/>
        </w:rPr>
        <w:t>……</w:t>
      </w:r>
      <w:r>
        <w:rPr>
          <w:rFonts w:hint="eastAsia" w:ascii="宋体" w:hAnsi="宋体" w:eastAsia="宋体" w:cs="宋体"/>
          <w:sz w:val="21"/>
          <w:szCs w:val="21"/>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二、联合体各方约定：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  3、</w:t>
      </w:r>
      <w:r>
        <w:rPr>
          <w:rFonts w:hint="eastAsia" w:ascii="宋体" w:hAnsi="宋体" w:eastAsia="宋体" w:cs="宋体"/>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rPr>
        <w:t>的条件参与商务部分的评标。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四、本协议自签署之日起生效，政府采购合同履行完毕后自动失效。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textAlignment w:val="auto"/>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pPr>
      <w:r>
        <w:rPr>
          <w:rFonts w:hint="eastAsia" w:ascii="宋体" w:hAnsi="宋体" w:eastAsia="宋体" w:cs="宋体"/>
          <w:sz w:val="21"/>
          <w:szCs w:val="21"/>
        </w:rPr>
        <w:t>（以下无正文）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right"/>
        <w:textAlignment w:val="auto"/>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★注意：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1、招标文件接受联合体投标且投标人为联合体的，投标人应提供本协议；否则无须提供。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pPr>
      <w:r>
        <w:rPr>
          <w:rFonts w:hint="eastAsia" w:ascii="宋体" w:hAnsi="宋体" w:eastAsia="宋体" w:cs="宋体"/>
          <w:sz w:val="21"/>
          <w:szCs w:val="21"/>
        </w:rPr>
        <w:t>2、本协议由委托代理人签字或盖章的，应按照本章载明的格式提供“单位负责人授权书”。</w:t>
      </w:r>
    </w:p>
    <w:p>
      <w:pPr>
        <w:pStyle w:val="6"/>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3、纸质投标文件正本中的本协议（若有）应为原件。</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二-11中小企业声明函</w:t>
      </w:r>
    </w:p>
    <w:p>
      <w:pPr>
        <w:pStyle w:val="6"/>
        <w:keepNext w:val="0"/>
        <w:keepLines w:val="0"/>
        <w:widowControl/>
        <w:suppressLineNumbers w:val="0"/>
        <w:spacing w:before="0" w:beforeAutospacing="0" w:after="150" w:afterAutospacing="0"/>
        <w:ind w:left="0" w:right="0"/>
        <w:jc w:val="center"/>
        <w:rPr>
          <w:rFonts w:ascii="Helvetica" w:hAnsi="Helvetica" w:eastAsia="Helvetica" w:cs="Helvetica"/>
          <w:b w:val="0"/>
          <w:bCs w:val="0"/>
          <w:sz w:val="48"/>
          <w:szCs w:val="48"/>
        </w:rPr>
      </w:pPr>
      <w:r>
        <w:rPr>
          <w:rStyle w:val="9"/>
          <w:rFonts w:hint="eastAsia" w:ascii="宋体" w:hAnsi="宋体" w:eastAsia="宋体" w:cs="宋体"/>
          <w:b/>
          <w:bCs/>
          <w:sz w:val="21"/>
          <w:szCs w:val="21"/>
        </w:rPr>
        <w:t>（专门面向中小企业或小型、微型企业适用，若有）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420"/>
        <w:jc w:val="left"/>
        <w:textAlignment w:val="auto"/>
      </w:pPr>
      <w:r>
        <w:rPr>
          <w:rFonts w:hint="eastAsia" w:ascii="宋体" w:hAnsi="宋体" w:eastAsia="宋体" w:cs="宋体"/>
          <w:spacing w:val="0"/>
          <w:sz w:val="24"/>
          <w:szCs w:val="24"/>
        </w:rPr>
        <w:t xml:space="preserve">              </w:t>
      </w: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采购活动，提供的货物全部由符合政策要求的中小企业制造。相关企业（含联合体中的中小企业、签订分包意向协议的中小企业）的具体情况如下：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 （标的名称） </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（采购文件中明确的所属行业）行业</w:t>
      </w:r>
      <w:r>
        <w:rPr>
          <w:rFonts w:hint="eastAsia" w:ascii="宋体" w:hAnsi="宋体" w:eastAsia="宋体" w:cs="宋体"/>
          <w:spacing w:val="0"/>
          <w:sz w:val="21"/>
          <w:szCs w:val="21"/>
        </w:rPr>
        <w:t>；制造商为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 （标的名称） </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 （采购文件中明确的所属行业 ）行业；</w:t>
      </w:r>
      <w:r>
        <w:rPr>
          <w:rFonts w:hint="eastAsia" w:ascii="宋体" w:hAnsi="宋体" w:eastAsia="宋体" w:cs="宋体"/>
          <w:spacing w:val="0"/>
          <w:sz w:val="21"/>
          <w:szCs w:val="21"/>
        </w:rPr>
        <w:t>制造商为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4"/>
          <w:szCs w:val="24"/>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pP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u w:val="single"/>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2"/>
        <w:keepNext w:val="0"/>
        <w:keepLines w:val="0"/>
        <w:widowControl/>
        <w:suppressLineNumbers w:val="0"/>
        <w:spacing w:before="165" w:beforeAutospacing="0" w:after="150" w:afterAutospacing="0" w:line="17" w:lineRule="atLeast"/>
        <w:ind w:left="0" w:right="0"/>
      </w:pPr>
      <w:r>
        <w:rPr>
          <w:rFonts w:hint="eastAsia" w:ascii="宋体" w:hAnsi="宋体" w:eastAsia="宋体" w:cs="宋体"/>
          <w:b w:val="0"/>
          <w:bCs w:val="0"/>
          <w:sz w:val="21"/>
          <w:szCs w:val="21"/>
        </w:rPr>
        <w:t xml:space="preserve">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残疾人福利性单位声明函</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（专门面向中小企业或小型、微型企业适用，若有）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2、纸质投标文件正本中的本声明函（若有）应为原件。</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3、若《残疾人福利性单位声明函》内容不真实，</w:t>
      </w:r>
      <w:r>
        <w:rPr>
          <w:rStyle w:val="9"/>
          <w:rFonts w:hint="eastAsia" w:ascii="宋体" w:hAnsi="宋体" w:eastAsia="宋体" w:cs="宋体"/>
          <w:b/>
          <w:bCs/>
          <w:sz w:val="21"/>
          <w:szCs w:val="21"/>
        </w:rPr>
        <w:t>视为提供虚假材料。</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firstLine="42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二-12其他资格证明文件（若有）</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9"/>
          <w:rFonts w:hint="eastAsia" w:ascii="宋体" w:hAnsi="宋体" w:eastAsia="宋体" w:cs="宋体"/>
          <w:b/>
          <w:bCs/>
          <w:sz w:val="21"/>
          <w:szCs w:val="21"/>
        </w:rPr>
        <w:t>-12-①具备履行合同所必需设备和专业技术能力专项证明材料（若有）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2、投标人提供的相应证明材料复印件均应符合：内容完整、清晰、整洁，并由投标人加盖其单位公章。</w:t>
      </w: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二-12-②招标文件规定的其他资格证明文件（若有）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9"/>
          <w:rFonts w:hint="eastAsia" w:ascii="宋体" w:hAnsi="宋体" w:eastAsia="宋体" w:cs="宋体"/>
          <w:b/>
          <w:bCs/>
          <w:sz w:val="21"/>
          <w:szCs w:val="21"/>
        </w:rPr>
        <w:t>、投标保证金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1、在此项下提交的</w:t>
      </w:r>
      <w:r>
        <w:rPr>
          <w:rStyle w:val="9"/>
          <w:rFonts w:hint="eastAsia" w:ascii="宋体" w:hAnsi="宋体" w:eastAsia="宋体" w:cs="宋体"/>
          <w:b/>
          <w:bCs/>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2、投标保证金是否已提交的认定按照招标文件第三章规定执行。</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（报价部分）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项目名称：</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备案编号：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招标编号：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所投合同包：</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rPr>
        <w:t>投标人：</w:t>
      </w:r>
      <w:r>
        <w:rPr>
          <w:rStyle w:val="9"/>
          <w:rFonts w:hint="eastAsia" w:ascii="宋体" w:hAnsi="宋体" w:eastAsia="宋体" w:cs="宋体"/>
          <w:b/>
          <w:bCs/>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年</w:t>
      </w: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一、开标一览表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三、招标文件规定的价格扣除证明材料（若有）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四、招标文件规定的加分证明材料（若有）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一、开标一览表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065"/>
        <w:gridCol w:w="3336"/>
        <w:gridCol w:w="1500"/>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333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投标报价</w:t>
            </w:r>
          </w:p>
        </w:tc>
        <w:tc>
          <w:tcPr>
            <w:tcW w:w="150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保证金</w:t>
            </w:r>
          </w:p>
        </w:tc>
        <w:tc>
          <w:tcPr>
            <w:tcW w:w="2619"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0" w:hRule="atLeast"/>
        </w:trPr>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333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50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619"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a.投标报价的明细：详见《投标分项报价表》。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6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333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50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619"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1.1投标人应按照本表格式填写所投的合同包的“投标报价”。</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1.3“大写金额”指“投标报价”应用“壹、贰、叁、肆、伍、陆、柒、捌、玖、拾、佰、仟、万、亿、元、角、分、零”等进行填写。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Style w:val="9"/>
          <w:rFonts w:hint="default" w:ascii="Calibri" w:hAnsi="Calibri" w:cs="Calibri"/>
          <w:b/>
          <w:bCs/>
          <w:sz w:val="21"/>
          <w:szCs w:val="21"/>
        </w:rPr>
      </w:pPr>
      <w:r>
        <w:rPr>
          <w:rStyle w:val="9"/>
          <w:rFonts w:hint="default" w:ascii="Calibri" w:hAnsi="Calibri" w:cs="Calibri"/>
          <w:b/>
          <w:bCs/>
          <w:sz w:val="21"/>
          <w:szCs w:val="21"/>
        </w:rPr>
        <w:br w:type="textWrapping"/>
      </w:r>
    </w:p>
    <w:p>
      <w:pPr>
        <w:rPr>
          <w:rStyle w:val="9"/>
          <w:rFonts w:hint="default" w:ascii="Calibri" w:hAnsi="Calibri" w:cs="Calibri"/>
          <w:b/>
          <w:bCs/>
          <w:sz w:val="21"/>
          <w:szCs w:val="21"/>
        </w:rPr>
      </w:pPr>
      <w:r>
        <w:rPr>
          <w:rStyle w:val="9"/>
          <w:rFonts w:hint="default" w:ascii="Calibri" w:hAnsi="Calibri" w:cs="Calibri"/>
          <w:b/>
          <w:bCs/>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2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5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127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9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57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09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81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6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6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9"/>
          <w:rFonts w:hint="eastAsia" w:ascii="宋体" w:hAnsi="宋体" w:eastAsia="宋体" w:cs="宋体"/>
          <w:b/>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b/>
          <w:bCs/>
          <w:sz w:val="21"/>
          <w:szCs w:val="21"/>
        </w:rPr>
        <w:t>“来源地”</w:t>
      </w:r>
      <w:r>
        <w:rPr>
          <w:rFonts w:hint="eastAsia" w:ascii="宋体" w:hAnsi="宋体" w:eastAsia="宋体" w:cs="宋体"/>
          <w:sz w:val="21"/>
          <w:szCs w:val="21"/>
        </w:rPr>
        <w:t>应填写货物的原产地。</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9"/>
          <w:rFonts w:hint="eastAsia" w:ascii="宋体" w:hAnsi="宋体" w:eastAsia="宋体" w:cs="宋体"/>
          <w:b/>
          <w:bCs/>
          <w:sz w:val="21"/>
          <w:szCs w:val="21"/>
        </w:rPr>
        <w:t>“规格”</w:t>
      </w:r>
      <w:r>
        <w:rPr>
          <w:rFonts w:hint="eastAsia" w:ascii="宋体" w:hAnsi="宋体" w:eastAsia="宋体" w:cs="宋体"/>
          <w:sz w:val="21"/>
          <w:szCs w:val="21"/>
        </w:rPr>
        <w:t>项下应填写服务提供者提供的服务标准及品牌（若有）。</w:t>
      </w:r>
      <w:r>
        <w:rPr>
          <w:rStyle w:val="9"/>
          <w:rFonts w:hint="eastAsia" w:ascii="宋体" w:hAnsi="宋体" w:eastAsia="宋体" w:cs="宋体"/>
          <w:b/>
          <w:bCs/>
          <w:sz w:val="21"/>
          <w:szCs w:val="21"/>
        </w:rPr>
        <w:t>“来源地”</w:t>
      </w:r>
      <w:r>
        <w:rPr>
          <w:rFonts w:hint="eastAsia" w:ascii="宋体" w:hAnsi="宋体" w:eastAsia="宋体" w:cs="宋体"/>
          <w:sz w:val="21"/>
          <w:szCs w:val="21"/>
        </w:rPr>
        <w:t>应填写服务提供者的所在地。</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1.4同一合同包中，</w:t>
      </w:r>
      <w:r>
        <w:rPr>
          <w:rStyle w:val="9"/>
          <w:rFonts w:hint="eastAsia" w:ascii="宋体" w:hAnsi="宋体" w:eastAsia="宋体" w:cs="宋体"/>
          <w:b/>
          <w:bCs/>
          <w:sz w:val="21"/>
          <w:szCs w:val="21"/>
        </w:rPr>
        <w:t>“单价（现场）”</w:t>
      </w:r>
      <w:r>
        <w:rPr>
          <w:rFonts w:hint="eastAsia" w:ascii="宋体" w:hAnsi="宋体" w:eastAsia="宋体" w:cs="宋体"/>
          <w:sz w:val="21"/>
          <w:szCs w:val="21"/>
        </w:rPr>
        <w:t>×</w:t>
      </w:r>
      <w:r>
        <w:rPr>
          <w:rStyle w:val="9"/>
          <w:rFonts w:hint="eastAsia" w:ascii="宋体" w:hAnsi="宋体" w:eastAsia="宋体" w:cs="宋体"/>
          <w:b/>
          <w:bCs/>
          <w:sz w:val="21"/>
          <w:szCs w:val="21"/>
        </w:rPr>
        <w:t>“数量”</w:t>
      </w:r>
      <w:r>
        <w:rPr>
          <w:rFonts w:hint="eastAsia" w:ascii="宋体" w:hAnsi="宋体" w:eastAsia="宋体" w:cs="宋体"/>
          <w:sz w:val="21"/>
          <w:szCs w:val="21"/>
        </w:rPr>
        <w:t>=</w:t>
      </w:r>
      <w:r>
        <w:rPr>
          <w:rStyle w:val="9"/>
          <w:rFonts w:hint="eastAsia" w:ascii="宋体" w:hAnsi="宋体" w:eastAsia="宋体" w:cs="宋体"/>
          <w:b/>
          <w:bCs/>
          <w:sz w:val="21"/>
          <w:szCs w:val="21"/>
        </w:rPr>
        <w:t>“总价（现场）”</w:t>
      </w:r>
      <w:r>
        <w:rPr>
          <w:rFonts w:hint="eastAsia" w:ascii="宋体" w:hAnsi="宋体" w:eastAsia="宋体" w:cs="宋体"/>
          <w:sz w:val="21"/>
          <w:szCs w:val="21"/>
        </w:rPr>
        <w:t>，全部品目号</w:t>
      </w:r>
      <w:r>
        <w:rPr>
          <w:rStyle w:val="9"/>
          <w:rFonts w:hint="eastAsia" w:ascii="宋体" w:hAnsi="宋体" w:eastAsia="宋体" w:cs="宋体"/>
          <w:b/>
          <w:bCs/>
          <w:sz w:val="21"/>
          <w:szCs w:val="21"/>
        </w:rPr>
        <w:t>“总价（现场）”</w:t>
      </w:r>
      <w:r>
        <w:rPr>
          <w:rFonts w:hint="eastAsia" w:ascii="宋体" w:hAnsi="宋体" w:eastAsia="宋体" w:cs="宋体"/>
          <w:sz w:val="21"/>
          <w:szCs w:val="21"/>
        </w:rPr>
        <w:t>的合计金额应与《开标一览表》中相应合同包列示的</w:t>
      </w:r>
      <w:r>
        <w:rPr>
          <w:rStyle w:val="9"/>
          <w:rFonts w:hint="eastAsia" w:ascii="宋体" w:hAnsi="宋体" w:eastAsia="宋体" w:cs="宋体"/>
          <w:b/>
          <w:bCs/>
          <w:sz w:val="21"/>
          <w:szCs w:val="21"/>
        </w:rPr>
        <w:t>“投标总价”</w:t>
      </w:r>
      <w:r>
        <w:rPr>
          <w:rFonts w:hint="eastAsia" w:ascii="宋体" w:hAnsi="宋体" w:eastAsia="宋体" w:cs="宋体"/>
          <w:sz w:val="21"/>
          <w:szCs w:val="21"/>
        </w:rPr>
        <w:t>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9"/>
          <w:rFonts w:hint="eastAsia" w:ascii="宋体" w:hAnsi="宋体" w:eastAsia="宋体" w:cs="宋体"/>
          <w:b/>
          <w:bCs/>
          <w:sz w:val="21"/>
          <w:szCs w:val="21"/>
        </w:rPr>
        <w:t>“备注”</w:t>
      </w:r>
      <w:r>
        <w:rPr>
          <w:rFonts w:hint="eastAsia" w:ascii="宋体" w:hAnsi="宋体" w:eastAsia="宋体" w:cs="宋体"/>
          <w:sz w:val="21"/>
          <w:szCs w:val="21"/>
        </w:rPr>
        <w:t>项下填写。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三、招标文件规定的价格扣除证明材料（若有）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三-1优先类节能产品、环境标志产品价格扣除证明材料（若有）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三-1-①优先类节能产品、环境标志产品统计表（价格扣除适用，若有）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1、对节能、环境标志产品计算价格扣除时，只依据投标文件</w:t>
      </w:r>
      <w:r>
        <w:rPr>
          <w:rStyle w:val="9"/>
          <w:rFonts w:hint="eastAsia" w:ascii="宋体" w:hAnsi="宋体" w:eastAsia="宋体" w:cs="宋体"/>
          <w:b/>
          <w:bCs/>
          <w:sz w:val="21"/>
          <w:szCs w:val="21"/>
        </w:rPr>
        <w:t>“三</w:t>
      </w:r>
      <w:r>
        <w:rPr>
          <w:rStyle w:val="9"/>
          <w:rFonts w:hint="default" w:ascii="Calibri" w:hAnsi="Calibri" w:eastAsia="宋体" w:cs="Calibri"/>
          <w:b/>
          <w:bCs/>
          <w:sz w:val="21"/>
          <w:szCs w:val="21"/>
        </w:rPr>
        <w:t>-1-</w:t>
      </w:r>
      <w:r>
        <w:rPr>
          <w:rStyle w:val="9"/>
          <w:rFonts w:hint="eastAsia" w:ascii="宋体" w:hAnsi="宋体" w:eastAsia="宋体" w:cs="宋体"/>
          <w:b/>
          <w:bCs/>
          <w:sz w:val="21"/>
          <w:szCs w:val="21"/>
        </w:rPr>
        <w:t>②优先类节能产品、环境标志产品证明材料（价格扣除适用，若有）”。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9"/>
          <w:rFonts w:hint="eastAsia" w:ascii="宋体" w:hAnsi="宋体" w:eastAsia="宋体" w:cs="宋体"/>
          <w:b/>
          <w:bCs/>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jc w:val="center"/>
      </w:pPr>
      <w:r>
        <w:rPr>
          <w:rStyle w:val="9"/>
          <w:rFonts w:hint="default" w:ascii="Calibri" w:hAnsi="Calibri" w:cs="Calibri"/>
          <w:b/>
          <w:bCs/>
          <w:sz w:val="21"/>
          <w:szCs w:val="21"/>
        </w:rPr>
        <w:br w:type="textWrapping"/>
      </w:r>
      <w:r>
        <w:rPr>
          <w:rStyle w:val="9"/>
          <w:rFonts w:hint="eastAsia" w:ascii="宋体" w:hAnsi="宋体" w:eastAsia="宋体" w:cs="宋体"/>
          <w:b/>
          <w:bCs/>
          <w:sz w:val="21"/>
          <w:szCs w:val="21"/>
        </w:rPr>
        <w:t>三-1-②优先类节能产品、环境标志产品证明材料（价格扣除适用，若有）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6"/>
        <w:keepNext w:val="0"/>
        <w:keepLines w:val="0"/>
        <w:widowControl/>
        <w:suppressLineNumbers w:val="0"/>
        <w:spacing w:before="0" w:beforeAutospacing="0" w:after="150" w:afterAutospacing="0"/>
        <w:ind w:left="0" w:right="0"/>
        <w:jc w:val="center"/>
      </w:pPr>
      <w:r>
        <w:rPr>
          <w:rStyle w:val="9"/>
          <w:rFonts w:hint="default" w:ascii="Calibri" w:hAnsi="Calibri" w:cs="Calibri"/>
          <w:b/>
          <w:bCs/>
          <w:sz w:val="21"/>
          <w:szCs w:val="21"/>
        </w:rPr>
        <w:br w:type="textWrapping"/>
      </w:r>
      <w:r>
        <w:rPr>
          <w:rStyle w:val="9"/>
          <w:rFonts w:hint="eastAsia" w:ascii="宋体" w:hAnsi="宋体" w:eastAsia="宋体" w:cs="宋体"/>
          <w:b/>
          <w:bCs/>
          <w:sz w:val="21"/>
          <w:szCs w:val="21"/>
        </w:rPr>
        <w:t>三-2小型、微型企业产品等价格扣除证明材料（若有）</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三-2-①小型、微型企业产品等统计表（价格扣除适用，若有）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7"/>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0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采购标的</w:t>
            </w:r>
          </w:p>
        </w:tc>
        <w:tc>
          <w:tcPr>
            <w:tcW w:w="9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70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9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1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制造厂商</w:t>
            </w:r>
          </w:p>
        </w:tc>
        <w:tc>
          <w:tcPr>
            <w:tcW w:w="118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7"/>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合同包内属于小型、微型企业产品等的报价总金额：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1、对小型、微型企业产品等计算价格扣除时，只依据投标文件</w:t>
      </w:r>
      <w:r>
        <w:rPr>
          <w:rStyle w:val="9"/>
          <w:rFonts w:hint="eastAsia" w:ascii="宋体" w:hAnsi="宋体" w:eastAsia="宋体" w:cs="宋体"/>
          <w:b/>
          <w:bCs/>
          <w:sz w:val="21"/>
          <w:szCs w:val="21"/>
        </w:rPr>
        <w:t>“三</w:t>
      </w:r>
      <w:r>
        <w:rPr>
          <w:rStyle w:val="9"/>
          <w:rFonts w:hint="default" w:ascii="Calibri" w:hAnsi="Calibri" w:eastAsia="宋体" w:cs="Calibri"/>
          <w:b/>
          <w:bCs/>
          <w:sz w:val="21"/>
          <w:szCs w:val="21"/>
        </w:rPr>
        <w:t>-2-</w:t>
      </w:r>
      <w:r>
        <w:rPr>
          <w:rStyle w:val="9"/>
          <w:rFonts w:hint="eastAsia" w:ascii="宋体" w:hAnsi="宋体" w:eastAsia="宋体" w:cs="宋体"/>
          <w:b/>
          <w:bCs/>
          <w:sz w:val="21"/>
          <w:szCs w:val="21"/>
        </w:rPr>
        <w:t>②中小企业声明函（价格扣除适用，若有）”及“三</w:t>
      </w:r>
      <w:r>
        <w:rPr>
          <w:rStyle w:val="9"/>
          <w:rFonts w:hint="default" w:ascii="Calibri" w:hAnsi="Calibri" w:eastAsia="宋体" w:cs="Calibri"/>
          <w:b/>
          <w:bCs/>
          <w:sz w:val="21"/>
          <w:szCs w:val="21"/>
        </w:rPr>
        <w:t>-2-</w:t>
      </w:r>
      <w:r>
        <w:rPr>
          <w:rStyle w:val="9"/>
          <w:rFonts w:hint="eastAsia" w:ascii="宋体" w:hAnsi="宋体" w:eastAsia="宋体" w:cs="宋体"/>
          <w:b/>
          <w:bCs/>
          <w:sz w:val="21"/>
          <w:szCs w:val="21"/>
        </w:rPr>
        <w:t>③小型、微型企业等证明材料（价格扣除适用，若有）”。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shd w:val="clear" w:fill="FFFFFF"/>
        <w:spacing w:before="0" w:beforeAutospacing="0" w:after="150" w:afterAutospacing="0"/>
        <w:ind w:left="0" w:right="0"/>
      </w:pPr>
      <w:r>
        <w:rPr>
          <w:rFonts w:hint="eastAsia" w:ascii="宋体" w:hAnsi="宋体" w:eastAsia="宋体" w:cs="宋体"/>
          <w:color w:val="393939"/>
          <w:sz w:val="21"/>
          <w:szCs w:val="21"/>
          <w:shd w:val="clear" w:fill="FFFFFF"/>
        </w:rPr>
        <w:t>3、符合财政部、民政部、中国残联文件（财库</w:t>
      </w:r>
      <w:r>
        <w:rPr>
          <w:rFonts w:hint="default" w:ascii="Calibri" w:hAnsi="Calibri" w:cs="Calibri"/>
          <w:color w:val="393939"/>
          <w:sz w:val="21"/>
          <w:szCs w:val="21"/>
          <w:shd w:val="clear" w:fill="FFFFFF"/>
        </w:rPr>
        <w:t>[2017]141</w:t>
      </w:r>
      <w:r>
        <w:rPr>
          <w:rFonts w:hint="eastAsia" w:ascii="宋体" w:hAnsi="宋体" w:eastAsia="宋体" w:cs="宋体"/>
          <w:color w:val="393939"/>
          <w:sz w:val="21"/>
          <w:szCs w:val="21"/>
          <w:shd w:val="clear" w:fill="FFFFFF"/>
        </w:rPr>
        <w:t>号）规定的残疾人福利性单位提供本单位制造的货物、承担的工程或服务，或提供其他残疾人福利性单位制造的货物（不包括使用非残疾人福利性单位注册商标的货物）</w:t>
      </w:r>
      <w:r>
        <w:rPr>
          <w:rStyle w:val="9"/>
          <w:rFonts w:hint="eastAsia" w:ascii="宋体" w:hAnsi="宋体" w:eastAsia="宋体" w:cs="宋体"/>
          <w:b/>
          <w:bCs/>
          <w:color w:val="393939"/>
          <w:sz w:val="21"/>
          <w:szCs w:val="21"/>
          <w:shd w:val="clear" w:fill="FFFFFF"/>
        </w:rPr>
        <w:t>可享受价格扣除。</w:t>
      </w:r>
    </w:p>
    <w:p>
      <w:pPr>
        <w:pStyle w:val="6"/>
        <w:keepNext w:val="0"/>
        <w:keepLines w:val="0"/>
        <w:widowControl/>
        <w:suppressLineNumbers w:val="0"/>
        <w:shd w:val="clear" w:fill="FFFFFF"/>
        <w:spacing w:before="0" w:beforeAutospacing="0" w:after="150" w:afterAutospacing="0"/>
        <w:ind w:left="0" w:right="0"/>
      </w:pPr>
      <w:r>
        <w:rPr>
          <w:rFonts w:hint="eastAsia" w:ascii="宋体" w:hAnsi="宋体" w:eastAsia="宋体" w:cs="宋体"/>
          <w:color w:val="393939"/>
          <w:sz w:val="21"/>
          <w:szCs w:val="21"/>
          <w:shd w:val="clear" w:fill="FFFFFF"/>
        </w:rPr>
        <w:t>4、纸质投标文件正本中的本表（若有）应为原件。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rPr>
          <w:rStyle w:val="9"/>
          <w:rFonts w:hint="eastAsia" w:ascii="宋体" w:hAnsi="宋体" w:eastAsia="宋体" w:cs="宋体"/>
          <w:b/>
          <w:bCs/>
          <w:sz w:val="21"/>
          <w:szCs w:val="21"/>
        </w:rPr>
      </w:pPr>
      <w:r>
        <w:rPr>
          <w:rStyle w:val="9"/>
          <w:rFonts w:hint="eastAsia" w:ascii="宋体" w:hAnsi="宋体" w:eastAsia="宋体" w:cs="宋体"/>
          <w:b/>
          <w:bCs/>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三-2-②中小企业声明函（价格扣除适用，若有）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firstLine="420"/>
        <w:textAlignment w:val="auto"/>
      </w:pPr>
      <w:r>
        <w:rPr>
          <w:rFonts w:hint="eastAsia" w:ascii="宋体" w:hAnsi="宋体" w:eastAsia="宋体" w:cs="宋体"/>
          <w:spacing w:val="0"/>
          <w:sz w:val="24"/>
          <w:szCs w:val="24"/>
        </w:rPr>
        <w:t>                        </w:t>
      </w: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4"/>
          <w:szCs w:val="24"/>
        </w:rPr>
        <w:t>中小企业声明函（工程、服务</w:t>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6"/>
        <w:keepNext w:val="0"/>
        <w:keepLines w:val="0"/>
        <w:widowControl/>
        <w:suppressLineNumbers w:val="0"/>
        <w:spacing w:before="0" w:beforeAutospacing="0" w:after="150" w:afterAutospacing="0"/>
        <w:ind w:left="0" w:right="0"/>
        <w:jc w:val="left"/>
        <w:rPr>
          <w:rFonts w:hint="eastAsia" w:ascii="宋体" w:hAnsi="宋体" w:eastAsia="宋体" w:cs="宋体"/>
          <w:spacing w:val="0"/>
          <w:sz w:val="21"/>
          <w:szCs w:val="21"/>
        </w:rPr>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rPr>
          <w:rFonts w:hint="eastAsia" w:ascii="宋体" w:hAnsi="宋体" w:eastAsia="宋体" w:cs="宋体"/>
          <w:spacing w:val="0"/>
          <w:sz w:val="21"/>
          <w:szCs w:val="21"/>
        </w:rPr>
      </w:pPr>
      <w:r>
        <w:rPr>
          <w:rFonts w:hint="eastAsia" w:ascii="宋体" w:hAnsi="宋体" w:eastAsia="宋体" w:cs="宋体"/>
          <w:spacing w:val="0"/>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三-2-③小型、微型企业等证明材料（价格扣除适用，若有）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附：</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残疾人福利性单位声明函（价格扣除适用，若有）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2、纸质投标文件正本中的本声明函（若有）应为原件。</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3、若《残疾人福利性单位声明函》内容不真实，</w:t>
      </w:r>
      <w:r>
        <w:rPr>
          <w:rStyle w:val="9"/>
          <w:rFonts w:hint="eastAsia" w:ascii="宋体" w:hAnsi="宋体" w:eastAsia="宋体" w:cs="宋体"/>
          <w:b/>
          <w:bCs/>
          <w:sz w:val="21"/>
          <w:szCs w:val="21"/>
        </w:rPr>
        <w:t>视为提供虚假材料。</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firstLine="420"/>
      </w:pP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三-3招标文件规定的其他价格扣除证明材料（若有）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9"/>
          <w:rFonts w:hint="eastAsia" w:ascii="宋体" w:hAnsi="宋体" w:eastAsia="宋体" w:cs="宋体"/>
          <w:b/>
          <w:bCs/>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四、招标文件规定的加分证明材料（若有）</w:t>
      </w: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四-1优先类节能产品、环境标志产品加分证明材料（若有）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四-1-①优先类节能产品、环境标志产品统计表（加分适用，若有）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1、对节能、环境标志产品计算加分时，只依据投标文件</w:t>
      </w:r>
      <w:r>
        <w:rPr>
          <w:rStyle w:val="9"/>
          <w:rFonts w:hint="eastAsia" w:ascii="宋体" w:hAnsi="宋体" w:eastAsia="宋体" w:cs="宋体"/>
          <w:b/>
          <w:bCs/>
          <w:sz w:val="21"/>
          <w:szCs w:val="21"/>
        </w:rPr>
        <w:t>“四</w:t>
      </w:r>
      <w:r>
        <w:rPr>
          <w:rStyle w:val="9"/>
          <w:rFonts w:hint="default" w:ascii="Calibri" w:hAnsi="Calibri" w:eastAsia="宋体" w:cs="Calibri"/>
          <w:b/>
          <w:bCs/>
          <w:sz w:val="21"/>
          <w:szCs w:val="21"/>
        </w:rPr>
        <w:t>-1-</w:t>
      </w:r>
      <w:r>
        <w:rPr>
          <w:rStyle w:val="9"/>
          <w:rFonts w:hint="eastAsia" w:ascii="宋体" w:hAnsi="宋体" w:eastAsia="宋体" w:cs="宋体"/>
          <w:b/>
          <w:bCs/>
          <w:sz w:val="21"/>
          <w:szCs w:val="21"/>
        </w:rPr>
        <w:t>②优先类节能产品、环境标志产品加分证明材料（加分适用，若有）”。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9"/>
          <w:rFonts w:hint="eastAsia" w:ascii="宋体" w:hAnsi="宋体" w:eastAsia="宋体" w:cs="宋体"/>
          <w:b/>
          <w:bCs/>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jc w:val="center"/>
        <w:rPr>
          <w:rStyle w:val="9"/>
          <w:rFonts w:hint="default" w:ascii="Calibri" w:hAnsi="Calibri" w:cs="Calibri"/>
          <w:b/>
          <w:bCs/>
          <w:sz w:val="21"/>
          <w:szCs w:val="21"/>
        </w:rPr>
      </w:pPr>
      <w:r>
        <w:rPr>
          <w:rStyle w:val="9"/>
          <w:rFonts w:hint="default" w:ascii="Calibri" w:hAnsi="Calibri" w:cs="Calibri"/>
          <w:b/>
          <w:bCs/>
          <w:sz w:val="21"/>
          <w:szCs w:val="21"/>
        </w:rPr>
        <w:br w:type="textWrapping"/>
      </w:r>
    </w:p>
    <w:p>
      <w:pPr>
        <w:rPr>
          <w:rStyle w:val="9"/>
          <w:rFonts w:hint="default" w:ascii="Calibri" w:hAnsi="Calibri" w:cs="Calibri"/>
          <w:b/>
          <w:bCs/>
          <w:sz w:val="21"/>
          <w:szCs w:val="21"/>
        </w:rPr>
      </w:pPr>
      <w:r>
        <w:rPr>
          <w:rStyle w:val="9"/>
          <w:rFonts w:hint="default" w:ascii="Calibri" w:hAnsi="Calibri" w:cs="Calibri"/>
          <w:b/>
          <w:bCs/>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四-1-②优先类节能产品、环境标志产品证明材料（加分适用，若有）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9"/>
          <w:rFonts w:hint="eastAsia" w:ascii="宋体" w:hAnsi="宋体" w:eastAsia="宋体" w:cs="宋体"/>
          <w:b/>
          <w:bCs/>
          <w:sz w:val="21"/>
          <w:szCs w:val="21"/>
        </w:rPr>
        <w:t>-2招标文件规定的其他加分证明材料（若有）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9"/>
          <w:rFonts w:hint="eastAsia" w:ascii="宋体" w:hAnsi="宋体" w:eastAsia="宋体" w:cs="宋体"/>
          <w:b/>
          <w:bCs/>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rPr>
          <w:rStyle w:val="9"/>
          <w:rFonts w:hint="eastAsia" w:ascii="宋体" w:hAnsi="宋体" w:eastAsia="宋体" w:cs="宋体"/>
          <w:b/>
          <w:bCs/>
          <w:sz w:val="28"/>
          <w:szCs w:val="28"/>
        </w:rPr>
      </w:pPr>
      <w:r>
        <w:rPr>
          <w:rStyle w:val="9"/>
          <w:rFonts w:hint="eastAsia" w:ascii="宋体" w:hAnsi="宋体" w:eastAsia="宋体" w:cs="宋体"/>
          <w:b/>
          <w:bCs/>
          <w:sz w:val="28"/>
          <w:szCs w:val="28"/>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（技术商务部分）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项目名称：</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备案编号：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招标编号：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所投合同包：</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rPr>
        <w:t>投标人：</w:t>
      </w:r>
      <w:r>
        <w:rPr>
          <w:rStyle w:val="9"/>
          <w:rFonts w:hint="eastAsia" w:ascii="宋体" w:hAnsi="宋体" w:eastAsia="宋体" w:cs="宋体"/>
          <w:b/>
          <w:bCs/>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年</w:t>
      </w: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一、标的说明一览表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二、技术和服务要求响应表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三、商务条件响应表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四、投标人提交的其他资料（若有）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技术商务部分中不得出现报价部分的全部或部分的投标报价信息（或组成资料），否则</w:t>
      </w:r>
      <w:r>
        <w:rPr>
          <w:rStyle w:val="9"/>
          <w:rFonts w:hint="eastAsia" w:ascii="宋体" w:hAnsi="宋体" w:eastAsia="宋体" w:cs="宋体"/>
          <w:b/>
          <w:bCs/>
          <w:sz w:val="21"/>
          <w:szCs w:val="21"/>
        </w:rPr>
        <w:t>符合性审查不合格</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一、标的说明一览表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58"/>
        <w:gridCol w:w="854"/>
        <w:gridCol w:w="1692"/>
        <w:gridCol w:w="854"/>
        <w:gridCol w:w="1138"/>
        <w:gridCol w:w="1138"/>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69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11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18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9"/>
          <w:rFonts w:hint="eastAsia" w:ascii="宋体" w:hAnsi="宋体" w:eastAsia="宋体" w:cs="宋体"/>
          <w:b/>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b/>
          <w:bCs/>
          <w:sz w:val="21"/>
          <w:szCs w:val="21"/>
        </w:rPr>
        <w:t>“来源地”</w:t>
      </w:r>
      <w:r>
        <w:rPr>
          <w:rFonts w:hint="eastAsia" w:ascii="宋体" w:hAnsi="宋体" w:eastAsia="宋体" w:cs="宋体"/>
          <w:sz w:val="21"/>
          <w:szCs w:val="21"/>
        </w:rPr>
        <w:t>应填写货物的原产地。</w:t>
      </w:r>
      <w:r>
        <w:rPr>
          <w:rStyle w:val="9"/>
          <w:rFonts w:hint="eastAsia" w:ascii="宋体" w:hAnsi="宋体" w:eastAsia="宋体" w:cs="宋体"/>
          <w:b/>
          <w:bCs/>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9"/>
          <w:rFonts w:hint="eastAsia" w:ascii="宋体" w:hAnsi="宋体" w:eastAsia="宋体" w:cs="宋体"/>
          <w:b/>
          <w:bCs/>
          <w:sz w:val="21"/>
          <w:szCs w:val="21"/>
        </w:rPr>
        <w:t>“规格”</w:t>
      </w:r>
      <w:r>
        <w:rPr>
          <w:rFonts w:hint="eastAsia" w:ascii="宋体" w:hAnsi="宋体" w:eastAsia="宋体" w:cs="宋体"/>
          <w:sz w:val="21"/>
          <w:szCs w:val="21"/>
        </w:rPr>
        <w:t>项下应填写服务提供者提供的服务标准及品牌（若有）。</w:t>
      </w:r>
      <w:r>
        <w:rPr>
          <w:rStyle w:val="9"/>
          <w:rFonts w:hint="eastAsia" w:ascii="宋体" w:hAnsi="宋体" w:eastAsia="宋体" w:cs="宋体"/>
          <w:b/>
          <w:bCs/>
          <w:sz w:val="21"/>
          <w:szCs w:val="21"/>
        </w:rPr>
        <w:t>“来源地”</w:t>
      </w:r>
      <w:r>
        <w:rPr>
          <w:rFonts w:hint="eastAsia" w:ascii="宋体" w:hAnsi="宋体" w:eastAsia="宋体" w:cs="宋体"/>
          <w:sz w:val="21"/>
          <w:szCs w:val="21"/>
        </w:rPr>
        <w:t>应填写服务提供者的所在地。</w:t>
      </w:r>
      <w:r>
        <w:rPr>
          <w:rStyle w:val="9"/>
          <w:rFonts w:hint="eastAsia" w:ascii="宋体" w:hAnsi="宋体" w:eastAsia="宋体" w:cs="宋体"/>
          <w:b/>
          <w:bCs/>
          <w:sz w:val="21"/>
          <w:szCs w:val="21"/>
        </w:rPr>
        <w:t>“备注”</w:t>
      </w:r>
      <w:r>
        <w:rPr>
          <w:rFonts w:hint="eastAsia" w:ascii="宋体" w:hAnsi="宋体" w:eastAsia="宋体" w:cs="宋体"/>
          <w:sz w:val="21"/>
          <w:szCs w:val="21"/>
        </w:rPr>
        <w:t>项下应填写关于服务标准所涵盖的具体项目或内容的说明等。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9"/>
          <w:rFonts w:hint="eastAsia" w:ascii="宋体" w:hAnsi="宋体" w:eastAsia="宋体" w:cs="宋体"/>
          <w:b/>
          <w:bCs/>
          <w:sz w:val="21"/>
          <w:szCs w:val="21"/>
        </w:rPr>
        <w:t>投标无效</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3、投标文件中涉及</w:t>
      </w:r>
      <w:r>
        <w:rPr>
          <w:rStyle w:val="9"/>
          <w:rFonts w:hint="eastAsia" w:ascii="宋体" w:hAnsi="宋体" w:eastAsia="宋体" w:cs="宋体"/>
          <w:b/>
          <w:bCs/>
          <w:sz w:val="21"/>
          <w:szCs w:val="21"/>
        </w:rPr>
        <w:t>“投标标的”、“数量”、“规格”、“来源地”</w:t>
      </w:r>
      <w:r>
        <w:rPr>
          <w:rFonts w:hint="eastAsia" w:ascii="宋体" w:hAnsi="宋体" w:eastAsia="宋体" w:cs="宋体"/>
          <w:sz w:val="21"/>
          <w:szCs w:val="21"/>
        </w:rPr>
        <w:t>的内容若不一致，</w:t>
      </w:r>
      <w:r>
        <w:rPr>
          <w:rStyle w:val="9"/>
          <w:rFonts w:hint="eastAsia" w:ascii="宋体" w:hAnsi="宋体" w:eastAsia="宋体" w:cs="宋体"/>
          <w:b/>
          <w:bCs/>
          <w:sz w:val="21"/>
          <w:szCs w:val="21"/>
        </w:rPr>
        <w:t>应以本表为准</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Style w:val="9"/>
          <w:rFonts w:hint="default" w:ascii="Calibri" w:hAnsi="Calibri" w:cs="Calibri"/>
          <w:b/>
          <w:bCs/>
          <w:sz w:val="21"/>
          <w:szCs w:val="21"/>
        </w:rPr>
      </w:pPr>
      <w:r>
        <w:rPr>
          <w:rStyle w:val="9"/>
          <w:rFonts w:hint="default" w:ascii="Calibri" w:hAnsi="Calibri" w:cs="Calibri"/>
          <w:b/>
          <w:bCs/>
          <w:sz w:val="21"/>
          <w:szCs w:val="21"/>
        </w:rPr>
        <w:br w:type="textWrapping"/>
      </w:r>
    </w:p>
    <w:p>
      <w:pPr>
        <w:rPr>
          <w:rStyle w:val="9"/>
          <w:rFonts w:hint="default" w:ascii="Calibri" w:hAnsi="Calibri" w:cs="Calibri"/>
          <w:b/>
          <w:bCs/>
          <w:sz w:val="21"/>
          <w:szCs w:val="21"/>
        </w:rPr>
      </w:pPr>
      <w:r>
        <w:rPr>
          <w:rStyle w:val="9"/>
          <w:rFonts w:hint="default" w:ascii="Calibri" w:hAnsi="Calibri" w:cs="Calibri"/>
          <w:b/>
          <w:bCs/>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二、技术和服务要求响应表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5" w:hRule="atLeast"/>
        </w:trPr>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84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1.1“技术和服务要求”项下填写的内容应与招标文件第五章“技术和服务要求”的内容保持一致。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    另页应答，否则</w:t>
      </w:r>
      <w:r>
        <w:rPr>
          <w:rStyle w:val="9"/>
          <w:rFonts w:hint="eastAsia" w:ascii="宋体" w:hAnsi="宋体" w:eastAsia="宋体" w:cs="宋体"/>
          <w:b/>
          <w:bCs/>
          <w:sz w:val="21"/>
          <w:szCs w:val="21"/>
        </w:rPr>
        <w:t>投标无效</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三、商务条件响应表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1.1“商务条件”项下填写的内容应与招标文件第五章“商务条件”的内容保持一致。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9"/>
          <w:rFonts w:hint="eastAsia" w:ascii="宋体" w:hAnsi="宋体" w:eastAsia="宋体" w:cs="宋体"/>
          <w:b/>
          <w:bCs/>
          <w:sz w:val="21"/>
          <w:szCs w:val="21"/>
        </w:rPr>
        <w:t>投标无效</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四、投标人提交的其他资料（若有）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1、招标文件要求提交的除</w:t>
      </w:r>
      <w:r>
        <w:rPr>
          <w:rStyle w:val="9"/>
          <w:rFonts w:hint="eastAsia" w:ascii="宋体" w:hAnsi="宋体" w:eastAsia="宋体" w:cs="宋体"/>
          <w:b/>
          <w:bCs/>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2、招标文件要求投标人提供方案（包括但不限于：组织、实施、技术、服务方案等）的，投标人应在此项下提交。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bCs w:val="0"/>
          <w:i w:val="0"/>
          <w:iCs w:val="0"/>
          <w:caps w:val="0"/>
          <w:color w:val="393939"/>
          <w:spacing w:val="0"/>
          <w:sz w:val="33"/>
          <w:szCs w:val="33"/>
        </w:rPr>
      </w:pPr>
      <w:r>
        <w:rPr>
          <w:rFonts w:hint="default" w:ascii="Helvetica" w:hAnsi="Helvetica" w:eastAsia="Helvetica" w:cs="Helvetica"/>
          <w:b w:val="0"/>
          <w:bCs w:val="0"/>
          <w:i w:val="0"/>
          <w:iCs w:val="0"/>
          <w:caps w:val="0"/>
          <w:color w:val="393939"/>
          <w:spacing w:val="0"/>
          <w:sz w:val="33"/>
          <w:szCs w:val="33"/>
          <w:shd w:val="clear" w:fill="FFFFFF"/>
        </w:rPr>
        <w:t>采购文件相关附件</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D1BD0"/>
    <w:rsid w:val="04703F39"/>
    <w:rsid w:val="2C2A1CC0"/>
    <w:rsid w:val="4AA73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paragraph" w:customStyle="1" w:styleId="11">
    <w:name w:val="Fließtext"/>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12">
    <w:name w:val="Normal Indent1"/>
    <w:basedOn w:val="1"/>
    <w:qFormat/>
    <w:uiPriority w:val="0"/>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2021-08-31T09:30:00Z</dcterms:created>
  <dc:creator>Administrator</dc:creator>
  <cp:lastModifiedBy>陈必</cp:lastModifiedBy>
  <dcterms:modified xsi:type="dcterms:W3CDTF">2021-09-01T02:45:12Z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2D8DE6BC8961414EBC71229BB38D6F33</vt:lpwstr>
  </property>
</Properties>
</file>